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89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89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Chen Lei (LC)</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PDD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PDD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97"/>
        <w:spacing w:after="0" w:line="275" w:lineRule="auto"/>
        <w:rPr>
          <w:sz w:val="20"/>
          <w:szCs w:val="20"/>
          <w:color w:val="auto"/>
        </w:rPr>
      </w:pPr>
      <w:r>
        <w:rPr>
          <w:rFonts w:ascii="Times New Roman" w:cs="Times New Roman" w:eastAsia="Times New Roman" w:hAnsi="Times New Roman"/>
          <w:sz w:val="20"/>
          <w:szCs w:val="20"/>
          <w:color w:val="0000FF"/>
        </w:rPr>
        <w:t>FIRST FLOOR, 25 ST STEPHEN'S GREEN</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124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DUBLIN 2  L2</w:t>
            </w:r>
          </w:p>
        </w:tc>
        <w:tc>
          <w:tcPr>
            <w:tcW w:w="1240" w:type="dxa"/>
            <w:vAlign w:val="bottom"/>
          </w:tcPr>
          <w:p>
            <w:pPr>
              <w:ind w:left="420"/>
              <w:spacing w:after="0"/>
              <w:rPr>
                <w:sz w:val="20"/>
                <w:szCs w:val="20"/>
                <w:color w:val="auto"/>
              </w:rPr>
            </w:pPr>
            <w:r>
              <w:rPr>
                <w:rFonts w:ascii="Times New Roman" w:cs="Times New Roman" w:eastAsia="Times New Roman" w:hAnsi="Times New Roman"/>
                <w:sz w:val="20"/>
                <w:szCs w:val="20"/>
                <w:color w:val="0000FF"/>
                <w:w w:val="94"/>
              </w:rPr>
              <w:t>D02 XF99</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03"/>
        <w:spacing w:after="0"/>
        <w:rPr>
          <w:sz w:val="20"/>
          <w:szCs w:val="20"/>
          <w:color w:val="auto"/>
        </w:rPr>
      </w:pPr>
      <w:r>
        <w:rPr>
          <w:rFonts w:ascii="Times New Roman" w:cs="Times New Roman" w:eastAsia="Times New Roman" w:hAnsi="Times New Roman"/>
          <w:sz w:val="20"/>
          <w:szCs w:val="20"/>
          <w:color w:val="0000FF"/>
        </w:rPr>
        <w:t>Co-Chief Executive Office</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90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2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280" w:type="dxa"/>
            <w:vAlign w:val="bottom"/>
            <w:vMerge w:val="restart"/>
          </w:tcPr>
          <w:p>
            <w:pPr>
              <w:ind w:left="32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28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vMerge w:val="continue"/>
          </w:tcPr>
          <w:p>
            <w:pPr>
              <w:spacing w:after="0"/>
              <w:rPr>
                <w:sz w:val="17"/>
                <w:szCs w:val="17"/>
                <w:color w:val="auto"/>
              </w:rPr>
            </w:pPr>
          </w:p>
        </w:tc>
        <w:tc>
          <w:tcPr>
            <w:tcW w:w="128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9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52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ADSs</w:t>
            </w:r>
            <w:r>
              <w:rPr>
                <w:rFonts w:ascii="Times New Roman" w:cs="Times New Roman" w:eastAsia="Times New Roman" w:hAnsi="Times New Roman"/>
                <w:sz w:val="25"/>
                <w:szCs w:val="25"/>
                <w:color w:val="008000"/>
                <w:vertAlign w:val="superscript"/>
              </w:rPr>
              <w:t>(2)</w:t>
            </w:r>
          </w:p>
        </w:tc>
        <w:tc>
          <w:tcPr>
            <w:tcW w:w="1280" w:type="dxa"/>
            <w:vAlign w:val="bottom"/>
            <w:tcBorders>
              <w:bottom w:val="single" w:sz="8" w:color="2C2C2C"/>
            </w:tcBorders>
          </w:tcPr>
          <w:p>
            <w:pPr>
              <w:jc w:val="center"/>
              <w:ind w:left="154"/>
              <w:spacing w:after="0"/>
              <w:rPr>
                <w:sz w:val="20"/>
                <w:szCs w:val="20"/>
                <w:color w:val="auto"/>
              </w:rPr>
            </w:pPr>
            <w:r>
              <w:rPr>
                <w:rFonts w:ascii="Times New Roman" w:cs="Times New Roman" w:eastAsia="Times New Roman" w:hAnsi="Times New Roman"/>
                <w:sz w:val="20"/>
                <w:szCs w:val="20"/>
                <w:color w:val="0000FF"/>
                <w:w w:val="98"/>
              </w:rPr>
              <w:t>330,000</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152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ADSs</w:t>
            </w:r>
            <w:r>
              <w:rPr>
                <w:rFonts w:ascii="Times New Roman" w:cs="Times New Roman" w:eastAsia="Times New Roman" w:hAnsi="Times New Roman"/>
                <w:sz w:val="25"/>
                <w:szCs w:val="25"/>
                <w:color w:val="008000"/>
                <w:vertAlign w:val="superscript"/>
              </w:rPr>
              <w:t>(2)</w:t>
            </w:r>
          </w:p>
        </w:tc>
        <w:tc>
          <w:tcPr>
            <w:tcW w:w="1280" w:type="dxa"/>
            <w:vAlign w:val="bottom"/>
            <w:tcBorders>
              <w:bottom w:val="single" w:sz="8" w:color="2C2C2C"/>
            </w:tcBorders>
          </w:tcPr>
          <w:p>
            <w:pPr>
              <w:jc w:val="center"/>
              <w:ind w:left="154"/>
              <w:spacing w:after="0"/>
              <w:rPr>
                <w:sz w:val="20"/>
                <w:szCs w:val="20"/>
                <w:color w:val="auto"/>
              </w:rPr>
            </w:pPr>
            <w:r>
              <w:rPr>
                <w:rFonts w:ascii="Times New Roman" w:cs="Times New Roman" w:eastAsia="Times New Roman" w:hAnsi="Times New Roman"/>
                <w:sz w:val="20"/>
                <w:szCs w:val="20"/>
                <w:color w:val="0000FF"/>
                <w:w w:val="98"/>
              </w:rPr>
              <w:t>250,000</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52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ADSs</w:t>
            </w:r>
            <w:r>
              <w:rPr>
                <w:rFonts w:ascii="Times New Roman" w:cs="Times New Roman" w:eastAsia="Times New Roman" w:hAnsi="Times New Roman"/>
                <w:sz w:val="25"/>
                <w:szCs w:val="25"/>
                <w:color w:val="008000"/>
                <w:vertAlign w:val="superscript"/>
              </w:rPr>
              <w:t>(2)</w:t>
            </w:r>
          </w:p>
        </w:tc>
        <w:tc>
          <w:tcPr>
            <w:tcW w:w="1280" w:type="dxa"/>
            <w:vAlign w:val="bottom"/>
            <w:tcBorders>
              <w:bottom w:val="single" w:sz="8" w:color="2C2C2C"/>
            </w:tcBorders>
          </w:tcPr>
          <w:p>
            <w:pPr>
              <w:jc w:val="center"/>
              <w:ind w:left="154"/>
              <w:spacing w:after="0"/>
              <w:rPr>
                <w:sz w:val="20"/>
                <w:szCs w:val="20"/>
                <w:color w:val="auto"/>
              </w:rPr>
            </w:pPr>
            <w:r>
              <w:rPr>
                <w:rFonts w:ascii="Times New Roman" w:cs="Times New Roman" w:eastAsia="Times New Roman" w:hAnsi="Times New Roman"/>
                <w:sz w:val="20"/>
                <w:szCs w:val="20"/>
                <w:color w:val="0000FF"/>
                <w:w w:val="97"/>
              </w:rPr>
              <w:t>13,000,000</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0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4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are all exercisable as of the filing date. The expiration date for 80,000 options is August 31, 2036 and the expiration date for the remaining 250,000 options is August 31, 2040.</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American depositary share ("ADS") of the Issuer represents four (4) Class A ordinary shares.</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option represents the right to receive, at settlement after exercise, one American Depositary Share ("ADS") of the Issuer, and has an exercise price of US$0.026.</w:t>
      </w:r>
    </w:p>
    <w:p>
      <w:pPr>
        <w:spacing w:after="0" w:line="52" w:lineRule="exact"/>
        <w:rPr>
          <w:rFonts w:ascii="Times New Roman" w:cs="Times New Roman" w:eastAsia="Times New Roman" w:hAnsi="Times New Roman"/>
          <w:sz w:val="15"/>
          <w:szCs w:val="15"/>
          <w:color w:val="008000"/>
        </w:rPr>
      </w:pPr>
    </w:p>
    <w:p>
      <w:pPr>
        <w:ind w:left="40" w:right="2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Half of these options will become exercisable on September 1, 2026 and the remaining will become exercisable on September 1, 2027. The expiration date for these options is August 31, 2040. The date exercisable has taken into account the three-year lock-up period included as a term in the grant of options.</w:t>
      </w:r>
    </w:p>
    <w:p>
      <w:pPr>
        <w:spacing w:after="0" w:line="17" w:lineRule="exact"/>
        <w:rPr>
          <w:rFonts w:ascii="Times New Roman" w:cs="Times New Roman" w:eastAsia="Times New Roman" w:hAnsi="Times New Roman"/>
          <w:sz w:val="15"/>
          <w:szCs w:val="15"/>
          <w:color w:val="008000"/>
        </w:rPr>
      </w:pPr>
    </w:p>
    <w:p>
      <w:pPr>
        <w:ind w:left="40" w:right="4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One-fourth of these options will become exercisable on each of the following dates: November 1, 2027, November 1, 2028, November 1, 2029, and November 1, 2030. The expiration date for these options is October 31, 2043. The date exercisable has taken into account the three-year lock-up period included as a term in the grant of options.</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Chen Lei</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21050" TargetMode="External"/><Relationship Id="rId11" Type="http://schemas.openxmlformats.org/officeDocument/2006/relationships/hyperlink" Target="http://www.sec.gov/cgi-bin/browse-edgar?action=getcompany&amp;CIK=00017378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2026-03-18T20:02:42Z</dcterms:created>
  <dcterms:modified xsi:type="dcterms:W3CDTF">2026-03-18T20:02:42Z</dcterms:modified>
</cp:coreProperties>
</file>