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PDD Holdings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First Floor, 25 St Stephen’s Green,</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Dublin 2, D02 XF99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PDD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Lei Chen</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Lei Chen</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Co-Chairman of the Board of Directors and Co-Chief Executive</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Jiazhen Zhao</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Jiazhen Zhao</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Co-Chairman of the Board of Directors and Co-Chief Executive</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PDD Holdings Announces Fourth Quarter 2025 and Fiscal Year 2025 Unaudited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DUBLIN and SHANGHAI, March 25, 2026 (GLOBE NEWSWIRE) – PDD Holdings Inc. (“PDD Holdings” or the “Company”) (NASDAQ: PDD), today announced its unaudited financial results for the fourth quarter ended and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w:t>
      </w:r>
    </w:p>
    <w:p>
      <w:pPr>
        <w:spacing w:after="0" w:line="233" w:lineRule="exact"/>
        <w:rPr>
          <w:sz w:val="20"/>
          <w:szCs w:val="20"/>
          <w:color w:val="auto"/>
        </w:rPr>
      </w:pPr>
    </w:p>
    <w:p>
      <w:pPr>
        <w:ind w:left="340" w:hanging="332"/>
        <w:spacing w:after="0" w:line="188"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quarter were RMB123,912.2 million (US$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17,719.2 million), an increase of 12% from RMB110,610.1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94" w:lineRule="exact"/>
        <w:rPr>
          <w:rFonts w:ascii="Times New Roman" w:cs="Times New Roman" w:eastAsia="Times New Roman" w:hAnsi="Times New Roman"/>
          <w:sz w:val="36"/>
          <w:szCs w:val="36"/>
          <w:color w:val="auto"/>
          <w:vertAlign w:val="superscript"/>
        </w:rPr>
      </w:pPr>
    </w:p>
    <w:p>
      <w:pPr>
        <w:jc w:val="both"/>
        <w:ind w:left="340" w:hanging="332"/>
        <w:spacing w:after="0" w:line="22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in the quarter was RMB27,719.7 million (US$3,963.9 million), compared with RMB25,592.2 million in the same quarter of 2024.</w:t>
      </w:r>
      <w:r>
        <w:rPr>
          <w:rFonts w:ascii="Times New Roman" w:cs="Times New Roman" w:eastAsia="Times New Roman" w:hAnsi="Times New Roman"/>
          <w:sz w:val="18"/>
          <w:szCs w:val="18"/>
          <w:b w:val="1"/>
          <w:bCs w:val="1"/>
          <w:color w:val="auto"/>
        </w:rPr>
        <w:t xml:space="preserve"> Non-GAAP</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operating profit </w:t>
      </w:r>
      <w:r>
        <w:rPr>
          <w:rFonts w:ascii="Times New Roman" w:cs="Times New Roman" w:eastAsia="Times New Roman" w:hAnsi="Times New Roman"/>
          <w:sz w:val="18"/>
          <w:szCs w:val="18"/>
          <w:color w:val="auto"/>
        </w:rPr>
        <w:t>in the quarter was RMB29,474.1 million (US$4,214.7 million), compared with RMB27,996.5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in the quarter was RMB24,541.0 million (US$3,509.3 million), a decrease of 11%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RMB27,446.6 million in the same quarter of 2024.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in the quarter was RMB26,295.4 million (US$3,760.2 million), a decrease of 12% from RMB29,850.9 million in the same quarter of 2024.</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year, we stayed firmly committed to our strategic focus on high-quality development," said Mr. Lei Chen, Co-Chairman and Co-Chief Executive Officer of PDD Holdings. "We will continue to uphold our long-term philosophy, channeling greater resources into the stakeholders we serve, as we look ahead to the next decade of growth."</w:t>
      </w: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"2026 marks the beginning of our journey into the next decade," said Mr. Jiazhen Zhao, Co-Chairman and Co-Chief Executive Officer of PDD Holdings. "Going into this new chapter, supply chain investment is where we will place our greatest conviction. We are committed to dedicating significant resources, with an all-in mindset, to drive lasting benefits to the entire ecosystem."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external environment and competitive landscape are undergoing rapid changes. To meet the evolving needs of consumers, we must continually explore and make investments," said Ms. Jun Liu, VP of Finance of PDD Holdings. "These investments are firm and long-term, and will inevitably affect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1" w:lineRule="exact"/>
        <w:rPr>
          <w:sz w:val="20"/>
          <w:szCs w:val="20"/>
          <w:color w:val="auto"/>
        </w:rPr>
      </w:pPr>
    </w:p>
    <w:p>
      <w:pPr>
        <w:jc w:val="both"/>
        <w:ind w:firstLine="8"/>
        <w:spacing w:after="0" w:line="210"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announcement contains translations of certain Renminbi (“RMB”) amounts into U.S. dollars (“US$”) at a specified rate solely for the convenience of the reader. Unless otherwise noted, the translation of RMB into US$ has been made at RMB6.9931 to US$1.00, the noon buying rate in effect on December 31, 2025 as set forth in the H.10 Statistical Release of the Federal Reserve Board.</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Company’s non-GAAP financial measures exclude share-based compensation expenses and fair value change of certain investments. See “Reconciliation of Non-GAAP Measures to the Most Directly Comparable GAAP Measures” set forth at the end of this press release.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2025 Unaudited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RMB123,912.2 million (US$17,719.2 million), an increase of 12% from RMB110,610.1 million in the same quarter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due to the increase in revenues from online marketing services and transaction services.</w:t>
      </w:r>
    </w:p>
    <w:p>
      <w:pPr>
        <w:spacing w:after="0" w:line="155" w:lineRule="exact"/>
        <w:rPr>
          <w:sz w:val="20"/>
          <w:szCs w:val="20"/>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online marketing services and others </w:t>
      </w:r>
      <w:r>
        <w:rPr>
          <w:rFonts w:ascii="Times New Roman" w:cs="Times New Roman" w:eastAsia="Times New Roman" w:hAnsi="Times New Roman"/>
          <w:sz w:val="18"/>
          <w:szCs w:val="18"/>
          <w:color w:val="auto"/>
        </w:rPr>
        <w:t>were RMB60,010.1 million (US$8,581.3 million), an increase of 5% from RMB57,011.1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transaction services </w:t>
      </w:r>
      <w:r>
        <w:rPr>
          <w:rFonts w:ascii="Times New Roman" w:cs="Times New Roman" w:eastAsia="Times New Roman" w:hAnsi="Times New Roman"/>
          <w:sz w:val="18"/>
          <w:szCs w:val="18"/>
          <w:color w:val="auto"/>
        </w:rPr>
        <w:t>were RMB63,902.1 million (US$9,137.9 million), an increase of 19% from RMB53,599.0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costs of revenues </w:t>
      </w:r>
      <w:r>
        <w:rPr>
          <w:rFonts w:ascii="Times New Roman" w:cs="Times New Roman" w:eastAsia="Times New Roman" w:hAnsi="Times New Roman"/>
          <w:sz w:val="18"/>
          <w:szCs w:val="18"/>
          <w:color w:val="auto"/>
        </w:rPr>
        <w:t>were RMB55,155.6 million (US$7,887.1 million), an increase of 15% from RMB47,798.4 million in the same quarter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mainly came from the increased fulfilment fees, bandwidth and server costs, and payment processing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RMB41,037.0 million (US$5,868.2 million), an increase of 10% from RMB37,219.5 million in the same quarter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the increase in sales and marketing expenses.</w:t>
      </w:r>
    </w:p>
    <w:p>
      <w:pPr>
        <w:spacing w:after="0" w:line="20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RMB34,352.3 million (US$4,912.3 million), compared with RMB31,356.9 million in the same quarter of 2024.</w:t>
      </w:r>
    </w:p>
    <w:p>
      <w:pPr>
        <w:spacing w:after="0" w:line="225"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RMB1,689.7 million (US$241.6 million), compared with RMB2,085.4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4"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RMB4,994.9 million (US$714.3 million), compared with RMB3,777.2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in the quarter was RMB27,719.7 million (US$3,963.9 million), compared with RMB25,592.2 million in the same quarter of 2024.</w:t>
      </w:r>
      <w:r>
        <w:rPr>
          <w:rFonts w:ascii="Times New Roman" w:cs="Times New Roman" w:eastAsia="Times New Roman" w:hAnsi="Times New Roman"/>
          <w:sz w:val="18"/>
          <w:szCs w:val="18"/>
          <w:b w:val="1"/>
          <w:bCs w:val="1"/>
          <w:color w:val="auto"/>
        </w:rPr>
        <w:t xml:space="preserve"> Non-GAAP operating profit </w:t>
      </w:r>
      <w:r>
        <w:rPr>
          <w:rFonts w:ascii="Times New Roman" w:cs="Times New Roman" w:eastAsia="Times New Roman" w:hAnsi="Times New Roman"/>
          <w:sz w:val="18"/>
          <w:szCs w:val="18"/>
          <w:color w:val="auto"/>
        </w:rPr>
        <w:t>in the quarter was RMB29,474,1 million (US$4,214.7 million), compared with RMB27,996.5 million in the same quarter of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in the quarter was RMB24,541.0 million (US$3,509.3 million), a decrease of 11% from RMB27,446.6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million in the same quarter of 2024.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in the quarter was RMB26,295.4 million (US$3,760.2 million), a decrease of 12% from RMB29,850.9 million in the same quarter of 2024.</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earnings per ADS </w:t>
      </w:r>
      <w:r>
        <w:rPr>
          <w:rFonts w:ascii="Times New Roman" w:cs="Times New Roman" w:eastAsia="Times New Roman" w:hAnsi="Times New Roman"/>
          <w:sz w:val="18"/>
          <w:szCs w:val="18"/>
          <w:color w:val="auto"/>
        </w:rPr>
        <w:t>was RMB17.50 (US$2.50) and diluted earnings per ADS was RMB16.51 (US$2.36), compared with basic earnings per ADS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RMB19.76 and diluted earnings per ADS of RMB18.53 in the same quarter of 2024. </w:t>
      </w:r>
      <w:r>
        <w:rPr>
          <w:rFonts w:ascii="Times New Roman" w:cs="Times New Roman" w:eastAsia="Times New Roman" w:hAnsi="Times New Roman"/>
          <w:sz w:val="18"/>
          <w:szCs w:val="18"/>
          <w:b w:val="1"/>
          <w:bCs w:val="1"/>
          <w:color w:val="auto"/>
        </w:rPr>
        <w:t>Non-GAAP diluted earnings per ADS</w:t>
      </w:r>
      <w:r>
        <w:rPr>
          <w:rFonts w:ascii="Times New Roman" w:cs="Times New Roman" w:eastAsia="Times New Roman" w:hAnsi="Times New Roman"/>
          <w:sz w:val="18"/>
          <w:szCs w:val="18"/>
          <w:color w:val="auto"/>
        </w:rPr>
        <w:t xml:space="preserve"> was RMB17.69 (US$2.53), compared with RMB20.15 in the same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generated from operating activities </w:t>
      </w:r>
      <w:r>
        <w:rPr>
          <w:rFonts w:ascii="Times New Roman" w:cs="Times New Roman" w:eastAsia="Times New Roman" w:hAnsi="Times New Roman"/>
          <w:sz w:val="18"/>
          <w:szCs w:val="18"/>
          <w:color w:val="auto"/>
        </w:rPr>
        <w:t>was RMB24,119.5 million (US$3,449.0 million), compared with RMB29,547.2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were RMB422.3 billion (US$60.4 billion) as of December 31, 2025, compared with RMB331.6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December 31,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non-current assets </w:t>
      </w:r>
      <w:r>
        <w:rPr>
          <w:rFonts w:ascii="Times New Roman" w:cs="Times New Roman" w:eastAsia="Times New Roman" w:hAnsi="Times New Roman"/>
          <w:sz w:val="18"/>
          <w:szCs w:val="18"/>
          <w:color w:val="auto"/>
        </w:rPr>
        <w:t>were RMB104.7 billion (US$15.0 billion) as of December 31, 2025, compared with RMB83.4 billion as of December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mainly included time deposits, held-to-maturity debt securities, and available-for-sale debt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Unaudited Financial Results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RMB431,845.7 million (US$61,753.1 million), an increase of 10% from RMB393,836.1 million in 2024. The increase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increase in revenues from online marketing services and transaction services.</w:t>
      </w:r>
    </w:p>
    <w:p>
      <w:pPr>
        <w:spacing w:after="0" w:line="155" w:lineRule="exact"/>
        <w:rPr>
          <w:sz w:val="20"/>
          <w:szCs w:val="20"/>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online marketing services and others </w:t>
      </w:r>
      <w:r>
        <w:rPr>
          <w:rFonts w:ascii="Times New Roman" w:cs="Times New Roman" w:eastAsia="Times New Roman" w:hAnsi="Times New Roman"/>
          <w:sz w:val="18"/>
          <w:szCs w:val="18"/>
          <w:color w:val="auto"/>
        </w:rPr>
        <w:t>were RMB217,783.0 million (US$31,142.6 million), an increase of 10% from RMB197,934.2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transaction services </w:t>
      </w:r>
      <w:r>
        <w:rPr>
          <w:rFonts w:ascii="Times New Roman" w:cs="Times New Roman" w:eastAsia="Times New Roman" w:hAnsi="Times New Roman"/>
          <w:sz w:val="18"/>
          <w:szCs w:val="18"/>
          <w:color w:val="auto"/>
        </w:rPr>
        <w:t>were RMB214,062.7 million (US$30,610.6 million), an increase of 9% from RMB195,901.9 million in 2024.</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costs of revenues </w:t>
      </w:r>
      <w:r>
        <w:rPr>
          <w:rFonts w:ascii="Times New Roman" w:cs="Times New Roman" w:eastAsia="Times New Roman" w:hAnsi="Times New Roman"/>
          <w:sz w:val="18"/>
          <w:szCs w:val="18"/>
          <w:color w:val="auto"/>
        </w:rPr>
        <w:t>were RMB188,801.8 million (US$26,998.3 million), an increase of 23% from RMB153,900.4 million in 2024. The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came from the increased fulfilment fees, bandwidth and server costs, and payment processing fees.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RMB148,419.9 million (US$21,223.8 million), an increase of 13% from RMB131,512.9 million in 2024.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in sales and marketing expenses.</w:t>
      </w:r>
    </w:p>
    <w:p>
      <w:pPr>
        <w:spacing w:after="0" w:line="155" w:lineRule="exact"/>
        <w:rPr>
          <w:sz w:val="20"/>
          <w:szCs w:val="20"/>
          <w:color w:val="auto"/>
        </w:rPr>
      </w:pPr>
    </w:p>
    <w:p>
      <w:pPr>
        <w:ind w:left="340" w:right="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RMB125,287.9 million (US$17,915.9 million), an increase of 13% from RMB111,300.5 million in 2024,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increased spending in promotion and advertising activities.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RMB6,635.8 million (US$948.9 million), compared with RMB7,553.0 million in 2024.</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RMB16,496.2 million (US$2,358.9 million), an increase of 30% from RMB12,659.4 million in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in staff related costs, and bandwidth and server costs.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RMB94,624.1 million (US$13,531.1 million), a decrease of 13% from RMB108,422.9 million in 2024.</w:t>
      </w:r>
      <w:r>
        <w:rPr>
          <w:rFonts w:ascii="Times New Roman" w:cs="Times New Roman" w:eastAsia="Times New Roman" w:hAnsi="Times New Roman"/>
          <w:sz w:val="18"/>
          <w:szCs w:val="18"/>
          <w:b w:val="1"/>
          <w:bCs w:val="1"/>
          <w:color w:val="auto"/>
        </w:rPr>
        <w:t xml:space="preserve"> Non-GAAP operating profit was </w:t>
      </w:r>
      <w:r>
        <w:rPr>
          <w:rFonts w:ascii="Times New Roman" w:cs="Times New Roman" w:eastAsia="Times New Roman" w:hAnsi="Times New Roman"/>
          <w:sz w:val="18"/>
          <w:szCs w:val="18"/>
          <w:color w:val="auto"/>
        </w:rPr>
        <w:t>RMB102,561.0 million (US$14,666.0 million), a decrease of 13% from RMB118,306.4 million in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RMB99,364.5 million (US$14,208.9 million), a decrease of 12% from RMB112,434.5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was RMB107,301.4 million (US$15,343.9 million), a decrease of 12% from RMB122,343.6 million in 2024.</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earnings per ADS </w:t>
      </w:r>
      <w:r>
        <w:rPr>
          <w:rFonts w:ascii="Times New Roman" w:cs="Times New Roman" w:eastAsia="Times New Roman" w:hAnsi="Times New Roman"/>
          <w:sz w:val="18"/>
          <w:szCs w:val="18"/>
          <w:color w:val="auto"/>
        </w:rPr>
        <w:t>was RMB71.09 (US$10.17) and diluted earnings per ADS was RMB67.03 (US$9.59), compared with basic earnings per ADS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RMB81.24 and diluted earnings per ADS of RMB76.01 in 2024. </w:t>
      </w:r>
      <w:r>
        <w:rPr>
          <w:rFonts w:ascii="Times New Roman" w:cs="Times New Roman" w:eastAsia="Times New Roman" w:hAnsi="Times New Roman"/>
          <w:sz w:val="18"/>
          <w:szCs w:val="18"/>
          <w:b w:val="1"/>
          <w:bCs w:val="1"/>
          <w:color w:val="auto"/>
        </w:rPr>
        <w:t>Non-GAAP diluted earnings per ADS</w:t>
      </w:r>
      <w:r>
        <w:rPr>
          <w:rFonts w:ascii="Times New Roman" w:cs="Times New Roman" w:eastAsia="Times New Roman" w:hAnsi="Times New Roman"/>
          <w:sz w:val="18"/>
          <w:szCs w:val="18"/>
          <w:color w:val="auto"/>
        </w:rPr>
        <w:t xml:space="preserve"> was RMB72.38 (US$10.36), compared with RMB82.71 in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generated from operating activities </w:t>
      </w:r>
      <w:r>
        <w:rPr>
          <w:rFonts w:ascii="Times New Roman" w:cs="Times New Roman" w:eastAsia="Times New Roman" w:hAnsi="Times New Roman"/>
          <w:sz w:val="18"/>
          <w:szCs w:val="18"/>
          <w:color w:val="auto"/>
        </w:rPr>
        <w:t>was RMB106,938.7 million (US$15,292.0 million), compared with RMB121,929.3 million in 2024,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decrease in net income.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an earnings conference call at 7:30 AM ET on March 25, 2026 (11:30 AM GMT and 7:30 PM HKT on the same day).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conference call will be webcast live at </w:t>
      </w:r>
      <w:r>
        <w:rPr>
          <w:rFonts w:ascii="Times New Roman" w:cs="Times New Roman" w:eastAsia="Times New Roman" w:hAnsi="Times New Roman"/>
          <w:sz w:val="18"/>
          <w:szCs w:val="18"/>
          <w:u w:val="single" w:color="auto"/>
          <w:color w:val="auto"/>
        </w:rPr>
        <w:t>https://investor.pddholdings.com/investor-events</w:t>
      </w:r>
      <w:r>
        <w:rPr>
          <w:rFonts w:ascii="Times New Roman" w:cs="Times New Roman" w:eastAsia="Times New Roman" w:hAnsi="Times New Roman"/>
          <w:sz w:val="18"/>
          <w:szCs w:val="18"/>
          <w:color w:val="auto"/>
        </w:rPr>
        <w:t>. The webcast will be available for replay at the same website following the conclusion of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measures, such as non- GAAP operating profit, non-GAAP net income attributable to ordinary shareholders, non-GAAP diluted earnings per ordinary share, and non-GAAP diluted earnings per ADS,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(“U.S. GAAP”). The Company’s non-GAAP financial measures exclude the impact of share-based compensation expenses and fair value change of certain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presents these non-GAAP financial measures because they are used by management to evaluate operating performance and formulate business plans. The Company believes that the non-GAAP financial measures help identify underlying trends in its business by excluding the impact of share-based compensation expenses and fair value change of certain investments, which are non-cash charges. The Company also believes that the non-GAAP financial measures may provide further information about the Company’s results of operations, and enhance the overall understanding of the Company’s past performance and future prospects.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non-GAAP financial measures are not defined under U.S. GAAP and are not presented in accordance with U.S. GAAP. The non-GAAP financial measures have limitations as analytical tools. These non-GAAP financial measures do not reflect all items of income and expenses that affect the Company’s operations and do not represent the residual cash flow available for discretionary expenditures. Further,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performance. The Company encourages you to review the Company’s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press release.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the e-commerce markets globally and in the countries or regions where the Company has operations; changes in its revenues and certain cost or expense items; the expected growth of e-commerce markets globally and in the countries or regions where the Company has operations; developments in the relevant governmental policies and regulations relating to the Company’s industry; and general economic and business conditions globally and in the countries or regions where the Company has operations;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PDD Holdings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PDD Holdings is a multinational commerce group that owns and operates a portfolio of businesses. PDD Holdings aims to bring more businesses and people into the digital economy so that local communities and small businesses can benefit from the increased productivity and new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investor@pddholdings.com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media@pddholdings.com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780" w:type="dxa"/>
            <w:vAlign w:val="bottom"/>
            <w:gridSpan w:val="3"/>
          </w:tcPr>
          <w:p>
            <w:pPr>
              <w:jc w:val="right"/>
              <w:ind w:right="910"/>
              <w:spacing w:after="0" w:line="188"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364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40" w:type="dxa"/>
            <w:vAlign w:val="bottom"/>
          </w:tcPr>
          <w:p>
            <w:pPr>
              <w:spacing w:after="0"/>
              <w:rPr>
                <w:sz w:val="20"/>
                <w:szCs w:val="20"/>
                <w:color w:val="auto"/>
              </w:rPr>
            </w:pPr>
          </w:p>
        </w:tc>
        <w:tc>
          <w:tcPr>
            <w:tcW w:w="27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57,768,053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108,900,587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15,572,577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68,426,368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73,830,824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10,557,667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3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3,679,309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5,109,129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730,596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273,791,856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313,407,682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44,816,702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7,569,180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10,205,128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1,459,314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4,413,466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7,526,542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1,076,280</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415,648,232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518,979,892</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74,213,136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879,327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1,306,044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186,762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19,170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15,387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5,064,351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4,863,332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695,447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15,998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171,959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83,407,238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104,707,713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14,973,004</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89,386,084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111,064,435</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15,882,003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505,034,316</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630,044,327</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90,095,139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780" w:type="dxa"/>
            <w:vAlign w:val="bottom"/>
            <w:gridSpan w:val="3"/>
          </w:tcPr>
          <w:p>
            <w:pPr>
              <w:jc w:val="right"/>
              <w:ind w:right="950"/>
              <w:spacing w:after="0" w:line="188"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28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40" w:type="dxa"/>
            <w:vAlign w:val="bottom"/>
          </w:tcPr>
          <w:p>
            <w:pPr>
              <w:spacing w:after="0"/>
              <w:rPr>
                <w:sz w:val="20"/>
                <w:szCs w:val="20"/>
                <w:color w:val="auto"/>
              </w:rPr>
            </w:pPr>
          </w:p>
        </w:tc>
        <w:tc>
          <w:tcPr>
            <w:tcW w:w="27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24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801,859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1,086,540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155,373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 and deferred revenues</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2,947,041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3,378,789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483,160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merchants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91,655,947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107,407,160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15,359,020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69,141,831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80,135,909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11,459,282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deposits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16,460,600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17,708,197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2,532,238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bonds, current portion</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5,309,597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2,105,978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2,498,643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357,301</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188,422,853</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212,215,238</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30,346,374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3,191,565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2,880,152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411,856</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106,774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41,851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3,298,339</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2,922,003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191,721,192</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215,137,241</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30,764,215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117,829,308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125,767,661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17,984,536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237,680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1,338,261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191,369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7,824,545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2,115,683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302,539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187,421,411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285,685,299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40,852,454</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313,313,124</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414,907,086</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59,330,924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505,034,316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630,044,327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90,095,139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2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68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70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38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86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6"/>
                <w:szCs w:val="16"/>
                <w:color w:val="auto"/>
              </w:rPr>
            </w:pPr>
          </w:p>
        </w:tc>
        <w:tc>
          <w:tcPr>
            <w:tcW w:w="1220" w:type="dxa"/>
            <w:vAlign w:val="bottom"/>
            <w:gridSpan w:val="2"/>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6"/>
                <w:szCs w:val="16"/>
                <w:color w:val="auto"/>
              </w:rPr>
            </w:pPr>
          </w:p>
        </w:tc>
        <w:tc>
          <w:tcPr>
            <w:tcW w:w="1320" w:type="dxa"/>
            <w:vAlign w:val="bottom"/>
            <w:gridSpan w:val="2"/>
          </w:tcPr>
          <w:p>
            <w:pPr>
              <w:jc w:val="right"/>
              <w:ind w:right="501"/>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r>
      <w:tr>
        <w:trPr>
          <w:trHeight w:val="238"/>
        </w:trPr>
        <w:tc>
          <w:tcPr>
            <w:tcW w:w="3860" w:type="dxa"/>
            <w:vAlign w:val="bottom"/>
          </w:tcPr>
          <w:p>
            <w:pPr>
              <w:spacing w:after="0"/>
              <w:rPr>
                <w:sz w:val="20"/>
                <w:szCs w:val="20"/>
                <w:color w:val="auto"/>
              </w:rPr>
            </w:pPr>
          </w:p>
        </w:tc>
        <w:tc>
          <w:tcPr>
            <w:tcW w:w="12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 </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110,610,106</w:t>
            </w: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123,912,194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17,719,208</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393,836,097</w:t>
            </w:r>
          </w:p>
        </w:tc>
        <w:tc>
          <w:tcPr>
            <w:tcW w:w="132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431,845,713</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61,753,116</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(47,798,376)</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(55,155,561)</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(7,887,140)</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(153,900,374)</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(188,801,753)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(26,998,292)</w:t>
            </w:r>
          </w:p>
        </w:tc>
      </w:tr>
      <w:tr>
        <w:trPr>
          <w:trHeight w:val="216"/>
        </w:trPr>
        <w:tc>
          <w:tcPr>
            <w:tcW w:w="3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(31,356,941)</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(34,352,348)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(4,912,320)</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(111,300,533)</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(125,287,932)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(17,915,936)</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(2,085,396)</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(1,689,726)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(241,628)</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(7,552,967)</w:t>
            </w:r>
          </w:p>
        </w:tc>
        <w:tc>
          <w:tcPr>
            <w:tcW w:w="13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(6,635,803)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(948,907)</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(3,777,178)</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(4,994,884)</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(714,259)</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(12,659,361)</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(16,496,164)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(2,358,920)</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(37,219,515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(41,036,958</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(5,868,207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(131,512,861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(148,419,899</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(21,223,763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25,592,215</w:t>
            </w: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27,719,675</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3,963,861</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108,422,862</w:t>
            </w:r>
          </w:p>
        </w:tc>
        <w:tc>
          <w:tcPr>
            <w:tcW w:w="132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94,624,061</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13,531,061</w:t>
            </w:r>
          </w:p>
        </w:tc>
      </w:tr>
      <w:tr>
        <w:trPr>
          <w:trHeight w:val="216"/>
        </w:trPr>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5,233,232</w:t>
            </w: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6,372,854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911,306</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20,553,493</w:t>
            </w:r>
          </w:p>
        </w:tc>
        <w:tc>
          <w:tcPr>
            <w:tcW w:w="132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25,583,848</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3,658,442</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860,526</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(659,932)</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(94,369)</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587,866</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(1,966,622)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(281,223)</w:t>
            </w: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726,735</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(605,083)</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(86,526)</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3,119,847</w:t>
            </w:r>
          </w:p>
        </w:tc>
        <w:tc>
          <w:tcPr>
            <w:tcW w:w="1320" w:type="dxa"/>
            <w:vAlign w:val="bottom"/>
            <w:tcBorders>
              <w:right w:val="single" w:sz="8" w:color="CCEEFF"/>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2,726,933</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389,946</w:t>
            </w:r>
          </w:p>
        </w:tc>
      </w:tr>
      <w:tr>
        <w:trPr>
          <w:trHeight w:val="20"/>
        </w:trPr>
        <w:tc>
          <w:tcPr>
            <w:tcW w:w="3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4" w:right="339" w:bottom="1440" w:gutter="0" w:footer="0" w:header="0"/>
        </w:sectPr>
      </w:pPr>
    </w:p>
    <w:p>
      <w:pPr>
        <w:ind w:left="18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Profit before income tax and share of results of equity investees</w:t>
      </w:r>
    </w:p>
    <w:p>
      <w:pPr>
        <w:spacing w:after="0" w:line="1" w:lineRule="exact"/>
        <w:rPr>
          <w:sz w:val="20"/>
          <w:szCs w:val="20"/>
          <w:color w:val="auto"/>
        </w:rPr>
      </w:pPr>
    </w:p>
    <w:p>
      <w:pPr>
        <w:ind w:right="1080"/>
        <w:spacing w:after="0" w:line="250" w:lineRule="auto"/>
        <w:rPr>
          <w:sz w:val="20"/>
          <w:szCs w:val="20"/>
          <w:color w:val="auto"/>
        </w:rPr>
      </w:pPr>
      <w:r>
        <w:rPr>
          <w:rFonts w:ascii="Times New Roman" w:cs="Times New Roman" w:eastAsia="Times New Roman" w:hAnsi="Times New Roman"/>
          <w:sz w:val="18"/>
          <w:szCs w:val="18"/>
          <w:color w:val="auto"/>
        </w:rPr>
        <w:t>Share of results of equity investees Income tax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32,412,708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32,827,514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4,694,272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132,684,068</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120,968,220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17,298,226</w:t>
            </w:r>
          </w:p>
        </w:tc>
        <w:tc>
          <w:tcPr>
            <w:tcW w:w="40" w:type="dxa"/>
            <w:vAlign w:val="bottom"/>
          </w:tcPr>
          <w:p>
            <w:pPr>
              <w:spacing w:after="0"/>
              <w:rPr>
                <w:sz w:val="19"/>
                <w:szCs w:val="19"/>
                <w:color w:val="auto"/>
              </w:rPr>
            </w:pP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116,725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159,801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22,851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129,005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18,447</w:t>
            </w:r>
          </w:p>
        </w:tc>
        <w:tc>
          <w:tcPr>
            <w:tcW w:w="40" w:type="dxa"/>
            <w:vAlign w:val="bottom"/>
          </w:tcPr>
          <w:p>
            <w:pPr>
              <w:spacing w:after="0"/>
              <w:rPr>
                <w:sz w:val="18"/>
                <w:szCs w:val="18"/>
                <w:color w:val="auto"/>
              </w:rPr>
            </w:pPr>
          </w:p>
        </w:tc>
      </w:tr>
      <w:tr>
        <w:trPr>
          <w:trHeight w:val="248"/>
        </w:trPr>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(5,082,796)</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(8,446,316)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(1,207,807)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(20,266,781)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(21,732,756)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(3,107,743)</w:t>
            </w: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27,446,637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24,540,999</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3,509,316</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112,434,512</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99,364,469</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14,208,930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-736600</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-325120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260"/>
            <w:col w:w="7380"/>
          </w:cols>
          <w:pgMar w:left="320" w:top="904"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5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6"/>
                <w:szCs w:val="16"/>
                <w:color w:val="auto"/>
              </w:rPr>
            </w:pPr>
          </w:p>
        </w:tc>
        <w:tc>
          <w:tcPr>
            <w:tcW w:w="12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6"/>
                <w:szCs w:val="16"/>
                <w:color w:val="auto"/>
              </w:rPr>
            </w:pPr>
          </w:p>
        </w:tc>
        <w:tc>
          <w:tcPr>
            <w:tcW w:w="10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6"/>
                <w:szCs w:val="16"/>
                <w:color w:val="auto"/>
              </w:rPr>
            </w:pPr>
          </w:p>
        </w:tc>
        <w:tc>
          <w:tcPr>
            <w:tcW w:w="12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27,446,637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24,540,999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3,509,316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112,434,512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99,364,469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14,208,930</w:t>
            </w:r>
          </w:p>
        </w:tc>
      </w:tr>
      <w:tr>
        <w:trPr>
          <w:trHeight w:val="263"/>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27,446,637</w:t>
            </w:r>
          </w:p>
        </w:tc>
        <w:tc>
          <w:tcPr>
            <w:tcW w:w="24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24,540,999</w:t>
            </w:r>
          </w:p>
        </w:tc>
        <w:tc>
          <w:tcPr>
            <w:tcW w:w="2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3,509,316</w:t>
            </w:r>
          </w:p>
        </w:tc>
        <w:tc>
          <w:tcPr>
            <w:tcW w:w="2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112,434,512</w:t>
            </w:r>
          </w:p>
        </w:tc>
        <w:tc>
          <w:tcPr>
            <w:tcW w:w="2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99,364,469</w:t>
            </w:r>
          </w:p>
        </w:tc>
        <w:tc>
          <w:tcPr>
            <w:tcW w:w="2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14,208,930</w:t>
            </w:r>
          </w:p>
        </w:tc>
        <w:tc>
          <w:tcPr>
            <w:tcW w:w="100" w:type="dxa"/>
            <w:vAlign w:val="bottom"/>
            <w:tcBorders>
              <w:bottom w:val="single" w:sz="8" w:color="CCEEFF"/>
            </w:tcBorders>
          </w:tcPr>
          <w:p>
            <w:pPr>
              <w:spacing w:after="0"/>
              <w:rPr>
                <w:sz w:val="22"/>
                <w:szCs w:val="22"/>
                <w:color w:val="auto"/>
              </w:rPr>
            </w:pPr>
          </w:p>
        </w:tc>
      </w:tr>
      <w:tr>
        <w:trPr>
          <w:trHeight w:val="197"/>
        </w:trPr>
        <w:tc>
          <w:tcPr>
            <w:tcW w:w="3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per ADS (4 ordinary shares equals 1</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outstanding</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(in thousands):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5,556,776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5,610,358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5,610,358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5,536,049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5,590,930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5,590,930</w:t>
            </w: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5,925,278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5,946,787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5,946,787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5,916,592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5,929,576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5,929,576</w:t>
            </w:r>
          </w:p>
        </w:tc>
      </w:tr>
      <w:tr>
        <w:trPr>
          <w:trHeight w:val="630"/>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services and others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NOTES TO FINANCIAL INFORMATION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c>
          <w:tcPr>
            <w:tcW w:w="34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23"/>
        </w:trPr>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187"/>
        </w:trPr>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6"/>
                <w:szCs w:val="16"/>
                <w:color w:val="auto"/>
              </w:rPr>
            </w:pPr>
          </w:p>
        </w:tc>
        <w:tc>
          <w:tcPr>
            <w:tcW w:w="124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16"/>
                <w:szCs w:val="16"/>
                <w:color w:val="auto"/>
              </w:rPr>
            </w:pPr>
          </w:p>
        </w:tc>
      </w:tr>
      <w:tr>
        <w:trPr>
          <w:trHeight w:val="238"/>
        </w:trPr>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427"/>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57,011,061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60,010,065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8,581,325</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197,934,192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217,783,028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31,142,559</w:t>
            </w:r>
          </w:p>
        </w:tc>
      </w:tr>
      <w:tr>
        <w:trPr>
          <w:trHeight w:val="234"/>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53,599,045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63,902,129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9,137,883</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195,901,905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214,062,685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30,610,557</w:t>
            </w:r>
          </w:p>
        </w:tc>
      </w:tr>
      <w:tr>
        <w:trPr>
          <w:trHeight w:val="223"/>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110,610,106</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123,912,194</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17,719,208</w:t>
            </w:r>
          </w:p>
        </w:tc>
        <w:tc>
          <w:tcPr>
            <w:tcW w:w="220" w:type="dxa"/>
            <w:vAlign w:val="bottom"/>
          </w:tcPr>
          <w:p>
            <w:pPr>
              <w:spacing w:after="0"/>
              <w:rPr>
                <w:sz w:val="19"/>
                <w:szCs w:val="19"/>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393,836,097</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431,845,713</w:t>
            </w:r>
          </w:p>
        </w:tc>
        <w:tc>
          <w:tcPr>
            <w:tcW w:w="2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61,753,116</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-1010920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-736600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20" w:space="720"/>
            <w:col w:w="7200"/>
          </w:cols>
          <w:pgMar w:left="320" w:top="904" w:right="4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included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NOTES TO FINANCIAL INFORMATION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46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23"/>
        </w:trPr>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187"/>
        </w:trPr>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6"/>
                <w:szCs w:val="16"/>
                <w:color w:val="auto"/>
              </w:rPr>
            </w:pPr>
          </w:p>
        </w:tc>
        <w:tc>
          <w:tcPr>
            <w:tcW w:w="12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6"/>
                <w:szCs w:val="16"/>
                <w:color w:val="auto"/>
              </w:rPr>
            </w:pPr>
          </w:p>
        </w:tc>
        <w:tc>
          <w:tcPr>
            <w:tcW w:w="10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6"/>
                <w:szCs w:val="16"/>
                <w:color w:val="auto"/>
              </w:rPr>
            </w:pPr>
          </w:p>
        </w:tc>
        <w:tc>
          <w:tcPr>
            <w:tcW w:w="12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16"/>
                <w:szCs w:val="16"/>
                <w:color w:val="auto"/>
              </w:rPr>
            </w:pPr>
          </w:p>
        </w:tc>
      </w:tr>
      <w:tr>
        <w:trPr>
          <w:trHeight w:val="238"/>
        </w:trPr>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414"/>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312,776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45,104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412,721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248,210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35,494</w:t>
            </w:r>
          </w:p>
        </w:tc>
      </w:tr>
      <w:tr>
        <w:trPr>
          <w:trHeight w:val="216"/>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256,314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352,963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50,473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2,216,792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2,000,790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286,109</w:t>
            </w:r>
          </w:p>
        </w:tc>
        <w:tc>
          <w:tcPr>
            <w:tcW w:w="20" w:type="dxa"/>
            <w:vAlign w:val="bottom"/>
          </w:tcPr>
          <w:p>
            <w:pPr>
              <w:spacing w:after="0"/>
              <w:rPr>
                <w:sz w:val="18"/>
                <w:szCs w:val="18"/>
                <w:color w:val="auto"/>
              </w:rPr>
            </w:pPr>
          </w:p>
        </w:tc>
      </w:tr>
      <w:tr>
        <w:trPr>
          <w:trHeight w:val="229"/>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1,087,472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782,513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111,897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4,742,816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3,430,903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490,613</w:t>
            </w:r>
          </w:p>
        </w:tc>
        <w:tc>
          <w:tcPr>
            <w:tcW w:w="20" w:type="dxa"/>
            <w:vAlign w:val="bottom"/>
          </w:tcPr>
          <w:p>
            <w:pPr>
              <w:spacing w:after="0"/>
              <w:rPr>
                <w:sz w:val="19"/>
                <w:szCs w:val="19"/>
                <w:color w:val="auto"/>
              </w:rPr>
            </w:pPr>
          </w:p>
        </w:tc>
      </w:tr>
      <w:tr>
        <w:trPr>
          <w:trHeight w:val="234"/>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747,693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573,844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82,059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2,511,235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2,257,068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322,756</w:t>
            </w:r>
          </w:p>
        </w:tc>
        <w:tc>
          <w:tcPr>
            <w:tcW w:w="20" w:type="dxa"/>
            <w:vAlign w:val="bottom"/>
          </w:tcPr>
          <w:p>
            <w:pPr>
              <w:spacing w:after="0"/>
              <w:rPr>
                <w:sz w:val="20"/>
                <w:szCs w:val="20"/>
                <w:color w:val="auto"/>
              </w:rPr>
            </w:pP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2,404,255</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1,754,424</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250,879</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9,883,564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7,936,971</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1,134,972</w:t>
            </w:r>
          </w:p>
        </w:tc>
        <w:tc>
          <w:tcPr>
            <w:tcW w:w="20" w:type="dxa"/>
            <w:vAlign w:val="bottom"/>
            <w:tcBorders>
              <w:top w:val="single" w:sz="8" w:color="auto"/>
            </w:tcBorders>
          </w:tcPr>
          <w:p>
            <w:pPr>
              <w:spacing w:after="0"/>
              <w:rPr>
                <w:sz w:val="19"/>
                <w:szCs w:val="19"/>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-1285240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-1010920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-736600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740" w:space="200"/>
            <w:col w:w="7200"/>
          </w:cols>
          <w:pgMar w:left="320" w:top="904"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6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6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6"/>
                <w:szCs w:val="16"/>
                <w:color w:val="auto"/>
              </w:rPr>
            </w:pPr>
          </w:p>
        </w:tc>
        <w:tc>
          <w:tcPr>
            <w:tcW w:w="12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6"/>
                <w:szCs w:val="16"/>
                <w:color w:val="auto"/>
              </w:rPr>
            </w:pPr>
          </w:p>
        </w:tc>
        <w:tc>
          <w:tcPr>
            <w:tcW w:w="10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6"/>
                <w:szCs w:val="16"/>
                <w:color w:val="auto"/>
              </w:rPr>
            </w:pPr>
          </w:p>
        </w:tc>
        <w:tc>
          <w:tcPr>
            <w:tcW w:w="124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29,547,160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24,119,546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3,449,049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121,929,292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106,938,690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15,292,029</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(used in)/generated from investing</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(30,545,257)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1,538,248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219,967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(118,356,036)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(43,423,236)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(6,209,441)</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generated from/(used in) financing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(5,228,476)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(747,662)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(5,227,353)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(747,502)</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1,503,749</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(1,087,377)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(155,493)</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840,096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(1,751,111)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(250,404)</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505,926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19,341,941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2,765,861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4,414,516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56,536,990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8,084,682</w:t>
            </w: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of period/year</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125,688,495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163,389,470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23,364,383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121,779,905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126,194,421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18,045,562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period/year</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126,194,421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182,731,411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26,130,244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126,194,421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182,731,411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26,130,244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c>
          <w:tcPr>
            <w:tcW w:w="3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6"/>
                <w:szCs w:val="16"/>
                <w:color w:val="auto"/>
              </w:rPr>
            </w:pPr>
          </w:p>
        </w:tc>
        <w:tc>
          <w:tcPr>
            <w:tcW w:w="124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10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6"/>
                <w:szCs w:val="16"/>
                <w:color w:val="auto"/>
              </w:rPr>
            </w:pPr>
          </w:p>
        </w:tc>
        <w:tc>
          <w:tcPr>
            <w:tcW w:w="10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25,592,215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27,719,675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3,963,861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108,422,862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94,624,061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13,531,061</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2,404,255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1,754,424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9,883,564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7,936,971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1,134,972</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profit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27,996,470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29,474,099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4,214,740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118,306,426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102,561,032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14,666,033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27,446,637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24,540,999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3,509,316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112,434,512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99,364,469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14,208,930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2,404,255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1,754,424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9,883,564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7,936,971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1,134,972</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Loss from fair value change of certain</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3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 to ordinary</w:t>
            </w: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29,850,921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26,295,423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3,760,195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122,343,561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107,301,440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15,343,902</w:t>
            </w:r>
          </w:p>
        </w:tc>
        <w:tc>
          <w:tcPr>
            <w:tcW w:w="0" w:type="dxa"/>
            <w:vAlign w:val="bottom"/>
          </w:tcPr>
          <w:p>
            <w:pPr>
              <w:spacing w:after="0"/>
              <w:rPr>
                <w:sz w:val="1"/>
                <w:szCs w:val="1"/>
                <w:color w:val="auto"/>
              </w:rPr>
            </w:pPr>
          </w:p>
        </w:tc>
      </w:tr>
      <w:tr>
        <w:trPr>
          <w:trHeight w:val="197"/>
        </w:trPr>
        <w:tc>
          <w:tcPr>
            <w:tcW w:w="39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diluted weighted-average number of</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outstanding (in thousands)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5,925,278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5,946,787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5,946,787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5,916,592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5,929,576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5,929,576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Non-GAAP adjustments to earnings per</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ordinary share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diluted earnings per ADS</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24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17.69</w:t>
            </w:r>
          </w:p>
        </w:tc>
        <w:tc>
          <w:tcPr>
            <w:tcW w:w="22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22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82.71</w:t>
            </w:r>
          </w:p>
        </w:tc>
        <w:tc>
          <w:tcPr>
            <w:tcW w:w="22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72.38</w:t>
            </w:r>
          </w:p>
        </w:tc>
        <w:tc>
          <w:tcPr>
            <w:tcW w:w="22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2026-03-26T05:26:10Z</dcterms:created>
  <dcterms:modified xsi:type="dcterms:W3CDTF">2026-03-26T05:26:10Z</dcterms:modified>
</cp:coreProperties>
</file>