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For the month of February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PDD Holdings Inc.</w:t>
      </w:r>
    </w:p>
    <w:p>
      <w:pPr>
        <w:spacing w:after="0" w:line="234"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28/F, No. 533 Loushanguan Road, Changning District</w:t>
      </w:r>
    </w:p>
    <w:p>
      <w:pPr>
        <w:spacing w:after="0" w:line="23"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Shanghai, 200051</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Results of PDD Holdings Inc.’s 2023 Annual General Meeting</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At the 2023 annual general meeting of shareholders of PDD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held on February 8, 2023 at 9:00 a.m., China Standard Time, or February 7, 2023 at 8:00 p.m., U.S. Eastern Time (the “</w:t>
      </w:r>
      <w:r>
        <w:rPr>
          <w:rFonts w:ascii="Arial" w:cs="Arial" w:eastAsia="Arial" w:hAnsi="Arial"/>
          <w:sz w:val="18"/>
          <w:szCs w:val="18"/>
          <w:b w:val="1"/>
          <w:bCs w:val="1"/>
          <w:color w:val="auto"/>
        </w:rPr>
        <w:t>2023 Annual General Meeting</w:t>
      </w:r>
      <w:r>
        <w:rPr>
          <w:rFonts w:ascii="Arial" w:cs="Arial" w:eastAsia="Arial" w:hAnsi="Arial"/>
          <w:sz w:val="18"/>
          <w:szCs w:val="18"/>
          <w:color w:val="auto"/>
        </w:rPr>
        <w:t>”), shareholders of the Company adopted the following resolutions proposed by the Company:</w:t>
      </w:r>
    </w:p>
    <w:p>
      <w:pPr>
        <w:spacing w:after="0" w:line="180"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Mr. Lei Chen be re-elected as a director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Mr. Anthony Kam Ping Leung be re-elected as a director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Mr. Haifeng Lin be re-elected as a director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Dr. Qi Lu be re-elected as a director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Mr. George Yong-Boon Yeo be re-elected as a director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special resolution, THAT the name of the Company be changed from “Pinduoduo Inc.” to “PDD Holdings Inc.”; and</w:t>
      </w:r>
    </w:p>
    <w:p>
      <w:pPr>
        <w:spacing w:after="0" w:line="225" w:lineRule="exact"/>
        <w:rPr>
          <w:rFonts w:ascii="Arial" w:cs="Arial" w:eastAsia="Arial" w:hAnsi="Arial"/>
          <w:sz w:val="18"/>
          <w:szCs w:val="18"/>
          <w:color w:val="auto"/>
        </w:rPr>
      </w:pPr>
    </w:p>
    <w:p>
      <w:pPr>
        <w:ind w:left="1300" w:right="160" w:hanging="644"/>
        <w:spacing w:after="0" w:line="25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special resolution, THAT, subject to passing of the special resolution no. 6 and the new name of the Company being entered in the Register of Companies by the Registrar of Companies in the Cayman Islands, the Company’s Ninth Amended and Restated Memorandum and Articles of Association be amended and restated by the deletion in their entirety and by the substitution in their place of the Tenth Amended and Restated Memorandum and Articles of Association in the form attached to the Notice of Annual General Meeting dated January 13, 2023.</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total of 5,048,659,268 votes, representing 95.6% of the total outstanding voting power as of January 13, 2023, the record date, were present in person or by proxy at the 2023 Annual General Meeting. The results of the votes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20"/>
              <w:spacing w:after="0"/>
              <w:rPr>
                <w:sz w:val="20"/>
                <w:szCs w:val="20"/>
                <w:color w:val="auto"/>
              </w:rPr>
            </w:pPr>
            <w:r>
              <w:rPr>
                <w:rFonts w:ascii="Arial" w:cs="Arial" w:eastAsia="Arial" w:hAnsi="Arial"/>
                <w:sz w:val="18"/>
                <w:szCs w:val="18"/>
                <w:b w:val="1"/>
                <w:bCs w:val="1"/>
                <w:color w:val="auto"/>
              </w:rPr>
              <w:t>For</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ind w:left="1040"/>
              <w:spacing w:after="0"/>
              <w:rPr>
                <w:sz w:val="20"/>
                <w:szCs w:val="20"/>
                <w:color w:val="auto"/>
              </w:rPr>
            </w:pPr>
            <w:r>
              <w:rPr>
                <w:rFonts w:ascii="Arial" w:cs="Arial" w:eastAsia="Arial" w:hAnsi="Arial"/>
                <w:sz w:val="18"/>
                <w:szCs w:val="18"/>
                <w:b w:val="1"/>
                <w:bCs w:val="1"/>
                <w:color w:val="auto"/>
                <w:w w:val="99"/>
              </w:rPr>
              <w:t>Against</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Resolution</w:t>
            </w:r>
          </w:p>
        </w:tc>
        <w:tc>
          <w:tcPr>
            <w:tcW w:w="15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Votes</w:t>
            </w: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72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rPr>
              <w:t>Votes</w:t>
            </w:r>
          </w:p>
        </w:tc>
        <w:tc>
          <w:tcPr>
            <w:tcW w:w="9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Votes</w:t>
            </w:r>
          </w:p>
        </w:tc>
        <w:tc>
          <w:tcPr>
            <w:tcW w:w="100" w:type="dxa"/>
            <w:vAlign w:val="bottom"/>
          </w:tcPr>
          <w:p>
            <w:pPr>
              <w:spacing w:after="0"/>
              <w:rPr>
                <w:sz w:val="19"/>
                <w:szCs w:val="19"/>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Resolution No. 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4,974,717,540</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54,118,016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19,823,712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Resolution No. 2</w:t>
            </w:r>
          </w:p>
        </w:tc>
        <w:tc>
          <w:tcPr>
            <w:tcW w:w="1260" w:type="dxa"/>
            <w:vAlign w:val="bottom"/>
          </w:tcPr>
          <w:p>
            <w:pPr>
              <w:jc w:val="right"/>
              <w:spacing w:after="0"/>
              <w:rPr>
                <w:sz w:val="20"/>
                <w:szCs w:val="20"/>
                <w:color w:val="auto"/>
              </w:rPr>
            </w:pPr>
            <w:r>
              <w:rPr>
                <w:rFonts w:ascii="Arial" w:cs="Arial" w:eastAsia="Arial" w:hAnsi="Arial"/>
                <w:sz w:val="18"/>
                <w:szCs w:val="18"/>
                <w:color w:val="auto"/>
              </w:rPr>
              <w:t>4,911,049,500</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97.27%</w:t>
            </w:r>
          </w:p>
        </w:tc>
        <w:tc>
          <w:tcPr>
            <w:tcW w:w="22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135,905,240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2.69%</w:t>
            </w:r>
          </w:p>
        </w:tc>
        <w:tc>
          <w:tcPr>
            <w:tcW w:w="22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9"/>
              </w:rPr>
              <w:t>1,704,528</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Resolution No. 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4,903,541,688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97.13%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143,413,088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1,704,492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Resolution No. 4</w:t>
            </w:r>
          </w:p>
        </w:tc>
        <w:tc>
          <w:tcPr>
            <w:tcW w:w="1260" w:type="dxa"/>
            <w:vAlign w:val="bottom"/>
          </w:tcPr>
          <w:p>
            <w:pPr>
              <w:jc w:val="right"/>
              <w:spacing w:after="0"/>
              <w:rPr>
                <w:sz w:val="20"/>
                <w:szCs w:val="20"/>
                <w:color w:val="auto"/>
              </w:rPr>
            </w:pPr>
            <w:r>
              <w:rPr>
                <w:rFonts w:ascii="Arial" w:cs="Arial" w:eastAsia="Arial" w:hAnsi="Arial"/>
                <w:sz w:val="18"/>
                <w:szCs w:val="18"/>
                <w:color w:val="auto"/>
              </w:rPr>
              <w:t>4,789,976,796</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94.88%</w:t>
            </w:r>
          </w:p>
        </w:tc>
        <w:tc>
          <w:tcPr>
            <w:tcW w:w="22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256,973,120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5.09%</w:t>
            </w:r>
          </w:p>
        </w:tc>
        <w:tc>
          <w:tcPr>
            <w:tcW w:w="22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9"/>
              </w:rPr>
              <w:t>1,709,352</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Resolution No. 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4,306,359,060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85.30%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740,593,860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14.67%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1,706,348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Resolution No. 6</w:t>
            </w:r>
          </w:p>
        </w:tc>
        <w:tc>
          <w:tcPr>
            <w:tcW w:w="1260" w:type="dxa"/>
            <w:vAlign w:val="bottom"/>
          </w:tcPr>
          <w:p>
            <w:pPr>
              <w:jc w:val="right"/>
              <w:spacing w:after="0"/>
              <w:rPr>
                <w:sz w:val="20"/>
                <w:szCs w:val="20"/>
                <w:color w:val="auto"/>
              </w:rPr>
            </w:pPr>
            <w:r>
              <w:rPr>
                <w:rFonts w:ascii="Arial" w:cs="Arial" w:eastAsia="Arial" w:hAnsi="Arial"/>
                <w:sz w:val="18"/>
                <w:szCs w:val="18"/>
                <w:color w:val="auto"/>
              </w:rPr>
              <w:t>5,046,792,636</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99.96%</w:t>
            </w:r>
          </w:p>
        </w:tc>
        <w:tc>
          <w:tcPr>
            <w:tcW w:w="22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152,276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0.003%</w:t>
            </w:r>
          </w:p>
        </w:tc>
        <w:tc>
          <w:tcPr>
            <w:tcW w:w="22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9"/>
              </w:rPr>
              <w:t>1,714,356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Resolution No. 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5,046,802,008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99.96%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103,616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0.002%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1,753,644</w:t>
            </w:r>
          </w:p>
        </w:tc>
        <w:tc>
          <w:tcPr>
            <w:tcW w:w="100" w:type="dxa"/>
            <w:vAlign w:val="bottom"/>
            <w:shd w:val="clear" w:color="auto" w:fill="CCEEFF"/>
          </w:tcPr>
          <w:p>
            <w:pPr>
              <w:spacing w:after="0"/>
              <w:rPr>
                <w:sz w:val="18"/>
                <w:szCs w:val="18"/>
                <w:color w:val="auto"/>
              </w:rPr>
            </w:pPr>
          </w:p>
        </w:tc>
      </w:tr>
      <w:tr>
        <w:trPr>
          <w:trHeight w:val="432"/>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A copy of the Company’s Tenth Amended and Restated Memorandum and Articles of Association, reflecting the new name of the Company,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99.1—Tenth Amended and Restated Memorandum and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PDD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 Chen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9"/>
              </w:rPr>
              <w:t>Name</w:t>
            </w:r>
          </w:p>
        </w:tc>
        <w:tc>
          <w:tcPr>
            <w:tcW w:w="2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Lei Chen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Pr>
          <w:p>
            <w:pPr>
              <w:spacing w:after="0"/>
              <w:rPr>
                <w:sz w:val="20"/>
                <w:szCs w:val="20"/>
                <w:color w:val="auto"/>
              </w:rPr>
            </w:pPr>
            <w:r>
              <w:rPr>
                <w:rFonts w:ascii="Arial" w:cs="Arial" w:eastAsia="Arial" w:hAnsi="Arial"/>
                <w:sz w:val="18"/>
                <w:szCs w:val="18"/>
                <w:color w:val="auto"/>
                <w:w w:val="95"/>
              </w:rPr>
              <w:t>Chairman of the Board of Directors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EXEMPTED COMPANY LIMITED BY SHARES</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TENTH AMENDED AND RESTATED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MEMORANDUM OF ASSOCIATION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PDD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a Special Resolution passed on February 7, 2023)</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Company is PDD Holdings Inc.</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Registered Office of the Company will be situated at the offices of Vistra (Cayman) Limited, P.O. Box 31119 Grand Pavilion, Hibiscus Way, 802 West Bay Road, Grand Cayman, KY1-1205, Cayman Islands, or at such other location within the Cayman Islands as the Directors may from time to time determine.</w:t>
      </w:r>
    </w:p>
    <w:p>
      <w:pPr>
        <w:spacing w:after="0" w:line="183"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70"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the Companies Act.</w:t>
      </w:r>
    </w:p>
    <w:p>
      <w:pPr>
        <w:spacing w:after="0" w:line="170"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liability of each Shareholder is limited to the amount, if any, unpaid on the Shares held by such Shareholder.</w:t>
      </w:r>
    </w:p>
    <w:p>
      <w:pPr>
        <w:spacing w:after="0" w:line="225" w:lineRule="exact"/>
        <w:rPr>
          <w:rFonts w:ascii="Arial" w:cs="Arial" w:eastAsia="Arial" w:hAnsi="Arial"/>
          <w:sz w:val="18"/>
          <w:szCs w:val="18"/>
          <w:color w:val="auto"/>
        </w:rPr>
      </w:pPr>
    </w:p>
    <w:p>
      <w:pPr>
        <w:ind w:left="580" w:hanging="572"/>
        <w:spacing w:after="0" w:line="270"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authorised share capital of the Company is US$400,000 divided into 80,000,000,000 shares comprising of (i) 77,300,000,000 Class A Ordinary Shares of a par value of US$0.000005 each, (ii) 2,200,000,000 Class B Ordinary Shares of a par value of US$0.000005 each and (iii) 500,000,000 shares of a par value of US$0.000005 each of such class or classes (however designated) as the board of directors may determine in accordance with Article 9 of the Articles.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0" w:lineRule="exact"/>
        <w:rPr>
          <w:rFonts w:ascii="Arial" w:cs="Arial" w:eastAsia="Arial" w:hAnsi="Arial"/>
          <w:sz w:val="17"/>
          <w:szCs w:val="17"/>
          <w:color w:val="auto"/>
        </w:rPr>
      </w:pPr>
    </w:p>
    <w:p>
      <w:pPr>
        <w:ind w:left="580" w:right="4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the power contained in the Companies Act to deregister in the Cayman Islands and be registered by way of continuation in some other jurisdiction.</w:t>
      </w:r>
    </w:p>
    <w:p>
      <w:pPr>
        <w:spacing w:after="0" w:line="170"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same meanings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EXEMPTED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PDD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a Special Resolution passed on February 7,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“ADS”</w:t>
            </w:r>
          </w:p>
        </w:tc>
        <w:tc>
          <w:tcPr>
            <w:tcW w:w="8800" w:type="dxa"/>
            <w:vAlign w:val="bottom"/>
          </w:tcPr>
          <w:p>
            <w:pPr>
              <w:ind w:left="380"/>
              <w:spacing w:after="0"/>
              <w:rPr>
                <w:sz w:val="20"/>
                <w:szCs w:val="20"/>
                <w:color w:val="auto"/>
              </w:rPr>
            </w:pPr>
            <w:r>
              <w:rPr>
                <w:rFonts w:ascii="Arial" w:cs="Arial" w:eastAsia="Arial" w:hAnsi="Arial"/>
                <w:sz w:val="18"/>
                <w:szCs w:val="18"/>
                <w:color w:val="auto"/>
              </w:rPr>
              <w:t>means an American Depositary Share representing Class A Ordinary Shares;</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“Affiliate”</w:t>
            </w:r>
          </w:p>
        </w:tc>
        <w:tc>
          <w:tcPr>
            <w:tcW w:w="8800" w:type="dxa"/>
            <w:vAlign w:val="bottom"/>
          </w:tcPr>
          <w:p>
            <w:pPr>
              <w:ind w:left="380"/>
              <w:spacing w:after="0"/>
              <w:rPr>
                <w:sz w:val="20"/>
                <w:szCs w:val="20"/>
                <w:color w:val="auto"/>
              </w:rPr>
            </w:pPr>
            <w:r>
              <w:rPr>
                <w:rFonts w:ascii="Arial" w:cs="Arial" w:eastAsia="Arial" w:hAnsi="Arial"/>
                <w:sz w:val="18"/>
                <w:szCs w:val="18"/>
                <w:color w:val="auto"/>
                <w:w w:val="95"/>
              </w:rPr>
              <w:t>means in respect of a Person, any other Person that, directly or indirectly, through one or more intermediaries,</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0"/>
              </w:rPr>
              <w:t>controls, is controlled by, or is under common control with, such Person, and (i) in the case of a natural person, shall</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2"/>
              </w:rPr>
              <w:t>include, without limitation, such person’s spouse, parents, children, siblings, mother-in-law, father-in-law, brothers-</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3"/>
              </w:rPr>
              <w:t>in-law and sisters-in-law, a trust for the benefit of any of the foregoing, and a corporation, partnership or any other</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2"/>
              </w:rPr>
              <w:t>entity wholly or jointly owned by any of the foregoing, and (ii) in the case of an entity, shall include a partnership, a</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corporation or any other entity or any natural person which directly, or indirectly through one or more</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6"/>
              </w:rPr>
              <w:t>intermediaries, controls, is controlled by, or is under common control with, such entity. The term “control” shall</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2"/>
              </w:rPr>
              <w:t>mean the ownership, directly or indirectly, of shares possessing more than fifty per cent (50%) of the voting power</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1"/>
              </w:rPr>
              <w:t>of the corporation, partnership or other entity (other than, in the case of a corporation, securities having such power</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7"/>
              </w:rPr>
              <w:t>only by reason of the happening of a contingency), or having the power to control the management or elect a</w:t>
            </w:r>
          </w:p>
        </w:tc>
      </w:tr>
      <w:tr>
        <w:trPr>
          <w:trHeight w:val="216"/>
        </w:trPr>
        <w:tc>
          <w:tcPr>
            <w:tcW w:w="244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w w:val="92"/>
              </w:rPr>
              <w:t>majority of members to the board of directors or equivalent decision-making body of such corporation, partnership</w:t>
            </w:r>
          </w:p>
        </w:tc>
      </w:tr>
      <w:tr>
        <w:trPr>
          <w:trHeight w:val="230"/>
        </w:trPr>
        <w:tc>
          <w:tcPr>
            <w:tcW w:w="2440" w:type="dxa"/>
            <w:vAlign w:val="bottom"/>
          </w:tcPr>
          <w:p>
            <w:pPr>
              <w:spacing w:after="0"/>
              <w:rPr>
                <w:sz w:val="20"/>
                <w:szCs w:val="20"/>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or other entity;</w:t>
            </w:r>
          </w:p>
        </w:tc>
      </w:tr>
      <w:tr>
        <w:trPr>
          <w:trHeight w:val="432"/>
        </w:trPr>
        <w:tc>
          <w:tcPr>
            <w:tcW w:w="2440" w:type="dxa"/>
            <w:vAlign w:val="bottom"/>
          </w:tcPr>
          <w:p>
            <w:pPr>
              <w:spacing w:after="0"/>
              <w:rPr>
                <w:sz w:val="20"/>
                <w:szCs w:val="20"/>
                <w:color w:val="auto"/>
              </w:rPr>
            </w:pPr>
            <w:r>
              <w:rPr>
                <w:rFonts w:ascii="Arial" w:cs="Arial" w:eastAsia="Arial" w:hAnsi="Arial"/>
                <w:sz w:val="18"/>
                <w:szCs w:val="18"/>
                <w:b w:val="1"/>
                <w:bCs w:val="1"/>
                <w:color w:val="auto"/>
              </w:rPr>
              <w:t>“Articles”</w:t>
            </w:r>
          </w:p>
        </w:tc>
        <w:tc>
          <w:tcPr>
            <w:tcW w:w="8800" w:type="dxa"/>
            <w:vAlign w:val="bottom"/>
          </w:tcPr>
          <w:p>
            <w:pPr>
              <w:ind w:left="380"/>
              <w:spacing w:after="0"/>
              <w:rPr>
                <w:sz w:val="20"/>
                <w:szCs w:val="20"/>
                <w:color w:val="auto"/>
              </w:rPr>
            </w:pPr>
            <w:r>
              <w:rPr>
                <w:rFonts w:ascii="Arial" w:cs="Arial" w:eastAsia="Arial" w:hAnsi="Arial"/>
                <w:sz w:val="18"/>
                <w:szCs w:val="18"/>
                <w:color w:val="auto"/>
              </w:rPr>
              <w:t>means these articles of association of the Company, as amended or substituted from time to time;</w:t>
            </w:r>
          </w:p>
        </w:tc>
      </w:tr>
      <w:tr>
        <w:trPr>
          <w:trHeight w:val="414"/>
        </w:trPr>
        <w:tc>
          <w:tcPr>
            <w:tcW w:w="2440" w:type="dxa"/>
            <w:vAlign w:val="bottom"/>
          </w:tcPr>
          <w:p>
            <w:pPr>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and</w:t>
            </w:r>
            <w:r>
              <w:rPr>
                <w:rFonts w:ascii="Arial" w:cs="Arial" w:eastAsia="Arial" w:hAnsi="Arial"/>
                <w:sz w:val="18"/>
                <w:szCs w:val="18"/>
                <w:b w:val="1"/>
                <w:bCs w:val="1"/>
                <w:color w:val="auto"/>
              </w:rPr>
              <w:t xml:space="preserve"> “Board of</w:t>
            </w:r>
          </w:p>
        </w:tc>
        <w:tc>
          <w:tcPr>
            <w:tcW w:w="8800" w:type="dxa"/>
            <w:vAlign w:val="bottom"/>
          </w:tcPr>
          <w:p>
            <w:pPr>
              <w:ind w:left="380"/>
              <w:spacing w:after="0"/>
              <w:rPr>
                <w:sz w:val="20"/>
                <w:szCs w:val="20"/>
                <w:color w:val="auto"/>
              </w:rPr>
            </w:pPr>
            <w:r>
              <w:rPr>
                <w:rFonts w:ascii="Arial" w:cs="Arial" w:eastAsia="Arial" w:hAnsi="Arial"/>
                <w:sz w:val="18"/>
                <w:szCs w:val="18"/>
                <w:color w:val="auto"/>
                <w:w w:val="89"/>
              </w:rPr>
              <w:t>means the directors of the Company for the time being, or as the case may be, the directors assembled as a board or</w:t>
            </w: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and</w:t>
            </w:r>
            <w:r>
              <w:rPr>
                <w:rFonts w:ascii="Arial" w:cs="Arial" w:eastAsia="Arial" w:hAnsi="Arial"/>
                <w:sz w:val="18"/>
                <w:szCs w:val="18"/>
                <w:b w:val="1"/>
                <w:bCs w:val="1"/>
                <w:color w:val="auto"/>
              </w:rPr>
              <w:t xml:space="preserve"> “Directors”</w:t>
            </w:r>
          </w:p>
        </w:tc>
        <w:tc>
          <w:tcPr>
            <w:tcW w:w="8800" w:type="dxa"/>
            <w:vAlign w:val="bottom"/>
          </w:tcPr>
          <w:p>
            <w:pPr>
              <w:ind w:left="380"/>
              <w:spacing w:after="0"/>
              <w:rPr>
                <w:sz w:val="20"/>
                <w:szCs w:val="20"/>
                <w:color w:val="auto"/>
              </w:rPr>
            </w:pPr>
            <w:r>
              <w:rPr>
                <w:rFonts w:ascii="Arial" w:cs="Arial" w:eastAsia="Arial" w:hAnsi="Arial"/>
                <w:sz w:val="18"/>
                <w:szCs w:val="18"/>
                <w:color w:val="auto"/>
              </w:rPr>
              <w:t>as a committee thereof;</w:t>
            </w:r>
          </w:p>
        </w:tc>
      </w:tr>
      <w:tr>
        <w:trPr>
          <w:trHeight w:val="432"/>
        </w:trPr>
        <w:tc>
          <w:tcPr>
            <w:tcW w:w="2440" w:type="dxa"/>
            <w:vAlign w:val="bottom"/>
          </w:tcPr>
          <w:p>
            <w:pPr>
              <w:spacing w:after="0"/>
              <w:rPr>
                <w:sz w:val="20"/>
                <w:szCs w:val="20"/>
                <w:color w:val="auto"/>
              </w:rPr>
            </w:pPr>
            <w:r>
              <w:rPr>
                <w:rFonts w:ascii="Arial" w:cs="Arial" w:eastAsia="Arial" w:hAnsi="Arial"/>
                <w:sz w:val="18"/>
                <w:szCs w:val="18"/>
                <w:b w:val="1"/>
                <w:bCs w:val="1"/>
                <w:color w:val="auto"/>
              </w:rPr>
              <w:t>“Chairman”</w:t>
            </w:r>
          </w:p>
        </w:tc>
        <w:tc>
          <w:tcPr>
            <w:tcW w:w="8800" w:type="dxa"/>
            <w:vAlign w:val="bottom"/>
          </w:tcPr>
          <w:p>
            <w:pPr>
              <w:ind w:left="380"/>
              <w:spacing w:after="0"/>
              <w:rPr>
                <w:sz w:val="20"/>
                <w:szCs w:val="20"/>
                <w:color w:val="auto"/>
              </w:rPr>
            </w:pPr>
            <w:r>
              <w:rPr>
                <w:rFonts w:ascii="Arial" w:cs="Arial" w:eastAsia="Arial" w:hAnsi="Arial"/>
                <w:sz w:val="18"/>
                <w:szCs w:val="18"/>
                <w:color w:val="auto"/>
              </w:rPr>
              <w:t>means the chairman of the Board of Directors;</w:t>
            </w:r>
          </w:p>
        </w:tc>
      </w:tr>
      <w:tr>
        <w:trPr>
          <w:trHeight w:val="432"/>
        </w:trPr>
        <w:tc>
          <w:tcPr>
            <w:tcW w:w="2440" w:type="dxa"/>
            <w:vAlign w:val="bottom"/>
          </w:tcPr>
          <w:p>
            <w:pPr>
              <w:ind w:left="60"/>
              <w:spacing w:after="0"/>
              <w:rPr>
                <w:sz w:val="20"/>
                <w:szCs w:val="20"/>
                <w:color w:val="auto"/>
              </w:rPr>
            </w:pPr>
            <w:r>
              <w:rPr>
                <w:rFonts w:ascii="Arial" w:cs="Arial" w:eastAsia="Arial" w:hAnsi="Arial"/>
                <w:sz w:val="18"/>
                <w:szCs w:val="18"/>
                <w:b w:val="1"/>
                <w:bCs w:val="1"/>
                <w:color w:val="auto"/>
              </w:rPr>
              <w:t>“Class” or “Classes”</w:t>
            </w:r>
          </w:p>
        </w:tc>
        <w:tc>
          <w:tcPr>
            <w:tcW w:w="8800" w:type="dxa"/>
            <w:vAlign w:val="bottom"/>
          </w:tcPr>
          <w:p>
            <w:pPr>
              <w:ind w:left="380"/>
              <w:spacing w:after="0"/>
              <w:rPr>
                <w:sz w:val="20"/>
                <w:szCs w:val="20"/>
                <w:color w:val="auto"/>
              </w:rPr>
            </w:pPr>
            <w:r>
              <w:rPr>
                <w:rFonts w:ascii="Arial" w:cs="Arial" w:eastAsia="Arial" w:hAnsi="Arial"/>
                <w:sz w:val="18"/>
                <w:szCs w:val="18"/>
                <w:color w:val="auto"/>
              </w:rPr>
              <w:t>means any class or classes of Shares as may from time to time be issued by the Company;</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“Class A Ordinary Share”</w:t>
            </w:r>
          </w:p>
        </w:tc>
        <w:tc>
          <w:tcPr>
            <w:tcW w:w="8800" w:type="dxa"/>
            <w:vAlign w:val="bottom"/>
          </w:tcPr>
          <w:p>
            <w:pPr>
              <w:ind w:left="380"/>
              <w:spacing w:after="0"/>
              <w:rPr>
                <w:sz w:val="20"/>
                <w:szCs w:val="20"/>
                <w:color w:val="auto"/>
              </w:rPr>
            </w:pPr>
            <w:r>
              <w:rPr>
                <w:rFonts w:ascii="Arial" w:cs="Arial" w:eastAsia="Arial" w:hAnsi="Arial"/>
                <w:sz w:val="18"/>
                <w:szCs w:val="18"/>
                <w:color w:val="auto"/>
                <w:w w:val="93"/>
              </w:rPr>
              <w:t>means an Ordinary Share of a par value of US$0.000005 in the capital of the Company, designated as a Class A</w:t>
            </w:r>
          </w:p>
        </w:tc>
      </w:tr>
      <w:tr>
        <w:trPr>
          <w:trHeight w:val="230"/>
        </w:trPr>
        <w:tc>
          <w:tcPr>
            <w:tcW w:w="2440" w:type="dxa"/>
            <w:vAlign w:val="bottom"/>
          </w:tcPr>
          <w:p>
            <w:pPr>
              <w:spacing w:after="0"/>
              <w:rPr>
                <w:sz w:val="20"/>
                <w:szCs w:val="20"/>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Ordinary Share and having the rights provided for in these Articles;</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“Class B Ordinary Share”</w:t>
            </w:r>
          </w:p>
        </w:tc>
        <w:tc>
          <w:tcPr>
            <w:tcW w:w="8800" w:type="dxa"/>
            <w:vAlign w:val="bottom"/>
          </w:tcPr>
          <w:p>
            <w:pPr>
              <w:ind w:left="380"/>
              <w:spacing w:after="0"/>
              <w:rPr>
                <w:sz w:val="20"/>
                <w:szCs w:val="20"/>
                <w:color w:val="auto"/>
              </w:rPr>
            </w:pPr>
            <w:r>
              <w:rPr>
                <w:rFonts w:ascii="Arial" w:cs="Arial" w:eastAsia="Arial" w:hAnsi="Arial"/>
                <w:sz w:val="18"/>
                <w:szCs w:val="18"/>
                <w:color w:val="auto"/>
                <w:w w:val="93"/>
              </w:rPr>
              <w:t>means an Ordinary Share of a par value of US$0.000005 in the capital of the Company, designated as a Class B</w:t>
            </w:r>
          </w:p>
        </w:tc>
      </w:tr>
      <w:tr>
        <w:trPr>
          <w:trHeight w:val="230"/>
        </w:trPr>
        <w:tc>
          <w:tcPr>
            <w:tcW w:w="2440" w:type="dxa"/>
            <w:vAlign w:val="bottom"/>
          </w:tcPr>
          <w:p>
            <w:pPr>
              <w:spacing w:after="0"/>
              <w:rPr>
                <w:sz w:val="20"/>
                <w:szCs w:val="20"/>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Ordinary Share and having the rights provided for in these Articles;</w:t>
            </w:r>
          </w:p>
        </w:tc>
      </w:tr>
      <w:tr>
        <w:trPr>
          <w:trHeight w:val="675"/>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1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Arial" w:cs="Arial" w:eastAsia="Arial" w:hAnsi="Arial"/>
                <w:sz w:val="18"/>
                <w:szCs w:val="18"/>
                <w:b w:val="1"/>
                <w:bCs w:val="1"/>
                <w:color w:val="auto"/>
              </w:rPr>
              <w:t>“Commission”</w:t>
            </w:r>
          </w:p>
        </w:tc>
        <w:tc>
          <w:tcPr>
            <w:tcW w:w="8540" w:type="dxa"/>
            <w:vAlign w:val="bottom"/>
          </w:tcPr>
          <w:p>
            <w:pPr>
              <w:ind w:left="120"/>
              <w:spacing w:after="0"/>
              <w:rPr>
                <w:sz w:val="20"/>
                <w:szCs w:val="20"/>
                <w:color w:val="auto"/>
              </w:rPr>
            </w:pPr>
            <w:r>
              <w:rPr>
                <w:rFonts w:ascii="Arial" w:cs="Arial" w:eastAsia="Arial" w:hAnsi="Arial"/>
                <w:sz w:val="18"/>
                <w:szCs w:val="18"/>
                <w:color w:val="auto"/>
                <w:w w:val="90"/>
              </w:rPr>
              <w:t>means the Securities and Exchange Commission of the United States of America or any other federal agency for the</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time being administering the Securities Act;</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8540" w:type="dxa"/>
            <w:vAlign w:val="bottom"/>
          </w:tcPr>
          <w:p>
            <w:pPr>
              <w:ind w:left="120"/>
              <w:spacing w:after="0"/>
              <w:rPr>
                <w:sz w:val="20"/>
                <w:szCs w:val="20"/>
                <w:color w:val="auto"/>
              </w:rPr>
            </w:pPr>
            <w:r>
              <w:rPr>
                <w:rFonts w:ascii="Arial" w:cs="Arial" w:eastAsia="Arial" w:hAnsi="Arial"/>
                <w:sz w:val="18"/>
                <w:szCs w:val="18"/>
                <w:color w:val="auto"/>
              </w:rPr>
              <w:t>means PDD Holdings Inc., a Cayman Islands exempted company;</w:t>
            </w:r>
          </w:p>
        </w:tc>
      </w:tr>
      <w:tr>
        <w:trPr>
          <w:trHeight w:val="414"/>
        </w:trPr>
        <w:tc>
          <w:tcPr>
            <w:tcW w:w="2700" w:type="dxa"/>
            <w:vAlign w:val="bottom"/>
          </w:tcPr>
          <w:p>
            <w:pPr>
              <w:spacing w:after="0"/>
              <w:rPr>
                <w:sz w:val="20"/>
                <w:szCs w:val="20"/>
                <w:color w:val="auto"/>
              </w:rPr>
            </w:pPr>
            <w:r>
              <w:rPr>
                <w:rFonts w:ascii="Arial" w:cs="Arial" w:eastAsia="Arial" w:hAnsi="Arial"/>
                <w:sz w:val="18"/>
                <w:szCs w:val="18"/>
                <w:b w:val="1"/>
                <w:bCs w:val="1"/>
                <w:color w:val="auto"/>
                <w:w w:val="94"/>
              </w:rPr>
              <w:t>“Companies Act” or “Companies</w:t>
            </w:r>
          </w:p>
        </w:tc>
        <w:tc>
          <w:tcPr>
            <w:tcW w:w="8540" w:type="dxa"/>
            <w:vAlign w:val="bottom"/>
          </w:tcPr>
          <w:p>
            <w:pPr>
              <w:ind w:left="120"/>
              <w:spacing w:after="0"/>
              <w:rPr>
                <w:sz w:val="20"/>
                <w:szCs w:val="20"/>
                <w:color w:val="auto"/>
              </w:rPr>
            </w:pPr>
            <w:r>
              <w:rPr>
                <w:rFonts w:ascii="Arial" w:cs="Arial" w:eastAsia="Arial" w:hAnsi="Arial"/>
                <w:sz w:val="18"/>
                <w:szCs w:val="18"/>
                <w:color w:val="auto"/>
                <w:w w:val="95"/>
              </w:rPr>
              <w:t>means the Companies Act (As Revised) of the Cayman Islands and any statutory amendment or re-enactment</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Law”</w:t>
            </w:r>
          </w:p>
        </w:tc>
        <w:tc>
          <w:tcPr>
            <w:tcW w:w="8540" w:type="dxa"/>
            <w:vAlign w:val="bottom"/>
          </w:tcPr>
          <w:p>
            <w:pPr>
              <w:ind w:left="120"/>
              <w:spacing w:after="0"/>
              <w:rPr>
                <w:sz w:val="20"/>
                <w:szCs w:val="20"/>
                <w:color w:val="auto"/>
              </w:rPr>
            </w:pPr>
            <w:r>
              <w:rPr>
                <w:rFonts w:ascii="Arial" w:cs="Arial" w:eastAsia="Arial" w:hAnsi="Arial"/>
                <w:sz w:val="18"/>
                <w:szCs w:val="18"/>
                <w:color w:val="auto"/>
              </w:rPr>
              <w:t>thereof;</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“Company’s Website”</w:t>
            </w:r>
          </w:p>
        </w:tc>
        <w:tc>
          <w:tcPr>
            <w:tcW w:w="8540" w:type="dxa"/>
            <w:vAlign w:val="bottom"/>
          </w:tcPr>
          <w:p>
            <w:pPr>
              <w:ind w:left="120"/>
              <w:spacing w:after="0"/>
              <w:rPr>
                <w:sz w:val="20"/>
                <w:szCs w:val="20"/>
                <w:color w:val="auto"/>
              </w:rPr>
            </w:pPr>
            <w:r>
              <w:rPr>
                <w:rFonts w:ascii="Arial" w:cs="Arial" w:eastAsia="Arial" w:hAnsi="Arial"/>
                <w:sz w:val="18"/>
                <w:szCs w:val="18"/>
                <w:color w:val="auto"/>
                <w:w w:val="89"/>
              </w:rPr>
              <w:t>means the main corporate/investor relations website of the Company, the address or domain name of which has been</w:t>
            </w:r>
          </w:p>
        </w:tc>
      </w:tr>
      <w:tr>
        <w:trPr>
          <w:trHeight w:val="216"/>
        </w:trPr>
        <w:tc>
          <w:tcPr>
            <w:tcW w:w="27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6"/>
              </w:rPr>
              <w:t>disclosed in any registration statement filed by the Company with the Commission in connection with its initial</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public offering of ADSs, or which has otherwise been notified to Shareholders;</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“Designated Stock Exchange”</w:t>
            </w:r>
          </w:p>
        </w:tc>
        <w:tc>
          <w:tcPr>
            <w:tcW w:w="8540" w:type="dxa"/>
            <w:vAlign w:val="bottom"/>
          </w:tcPr>
          <w:p>
            <w:pPr>
              <w:ind w:left="120"/>
              <w:spacing w:after="0"/>
              <w:rPr>
                <w:sz w:val="20"/>
                <w:szCs w:val="20"/>
                <w:color w:val="auto"/>
              </w:rPr>
            </w:pPr>
            <w:r>
              <w:rPr>
                <w:rFonts w:ascii="Arial" w:cs="Arial" w:eastAsia="Arial" w:hAnsi="Arial"/>
                <w:sz w:val="18"/>
                <w:szCs w:val="18"/>
                <w:color w:val="auto"/>
              </w:rPr>
              <w:t>means the stock exchange in the United States on which any Shares and ADSs are listed for trading;</w:t>
            </w:r>
          </w:p>
        </w:tc>
      </w:tr>
      <w:tr>
        <w:trPr>
          <w:trHeight w:val="414"/>
        </w:trPr>
        <w:tc>
          <w:tcPr>
            <w:tcW w:w="2700" w:type="dxa"/>
            <w:vAlign w:val="bottom"/>
          </w:tcPr>
          <w:p>
            <w:pPr>
              <w:spacing w:after="0"/>
              <w:rPr>
                <w:sz w:val="20"/>
                <w:szCs w:val="20"/>
                <w:color w:val="auto"/>
              </w:rPr>
            </w:pPr>
            <w:r>
              <w:rPr>
                <w:rFonts w:ascii="Arial" w:cs="Arial" w:eastAsia="Arial" w:hAnsi="Arial"/>
                <w:sz w:val="18"/>
                <w:szCs w:val="18"/>
                <w:b w:val="1"/>
                <w:bCs w:val="1"/>
                <w:color w:val="auto"/>
              </w:rPr>
              <w:t>“Designated Stock Exchange</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means the relevant code, rules and regulations, as amended, from time to time, applicable as a result of the original</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Rules”</w:t>
            </w:r>
          </w:p>
        </w:tc>
        <w:tc>
          <w:tcPr>
            <w:tcW w:w="8540" w:type="dxa"/>
            <w:vAlign w:val="bottom"/>
          </w:tcPr>
          <w:p>
            <w:pPr>
              <w:ind w:left="120"/>
              <w:spacing w:after="0"/>
              <w:rPr>
                <w:sz w:val="20"/>
                <w:szCs w:val="20"/>
                <w:color w:val="auto"/>
              </w:rPr>
            </w:pPr>
            <w:r>
              <w:rPr>
                <w:rFonts w:ascii="Arial" w:cs="Arial" w:eastAsia="Arial" w:hAnsi="Arial"/>
                <w:sz w:val="18"/>
                <w:szCs w:val="18"/>
                <w:color w:val="auto"/>
              </w:rPr>
              <w:t>and continued listing of any Shares or ADSs on the Designated Stock Exchange;</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“electronic”</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has the meaning given to it in the Electronic Transactions Act and any amendment thereto or re-enactments thereof</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for the time being in force and includes every other law incorporated therewith or substituted therefor;</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“electronic communication”</w:t>
            </w:r>
          </w:p>
        </w:tc>
        <w:tc>
          <w:tcPr>
            <w:tcW w:w="8540" w:type="dxa"/>
            <w:vAlign w:val="bottom"/>
          </w:tcPr>
          <w:p>
            <w:pPr>
              <w:ind w:left="120"/>
              <w:spacing w:after="0"/>
              <w:rPr>
                <w:sz w:val="20"/>
                <w:szCs w:val="20"/>
                <w:color w:val="auto"/>
              </w:rPr>
            </w:pPr>
            <w:r>
              <w:rPr>
                <w:rFonts w:ascii="Arial" w:cs="Arial" w:eastAsia="Arial" w:hAnsi="Arial"/>
                <w:sz w:val="18"/>
                <w:szCs w:val="18"/>
                <w:color w:val="auto"/>
                <w:w w:val="89"/>
              </w:rPr>
              <w:t>means electronic posting to the Company’s Website, transmission to any number, address or internet website or other</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electronic delivery methods as otherwise decided and approved by not less than two-thirds of the vote of the Board;</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“Electronic Transactions Act”</w:t>
            </w:r>
          </w:p>
        </w:tc>
        <w:tc>
          <w:tcPr>
            <w:tcW w:w="8540" w:type="dxa"/>
            <w:vAlign w:val="bottom"/>
          </w:tcPr>
          <w:p>
            <w:pPr>
              <w:ind w:left="120"/>
              <w:spacing w:after="0"/>
              <w:rPr>
                <w:sz w:val="20"/>
                <w:szCs w:val="20"/>
                <w:color w:val="auto"/>
              </w:rPr>
            </w:pPr>
            <w:r>
              <w:rPr>
                <w:rFonts w:ascii="Arial" w:cs="Arial" w:eastAsia="Arial" w:hAnsi="Arial"/>
                <w:sz w:val="18"/>
                <w:szCs w:val="18"/>
                <w:color w:val="auto"/>
                <w:w w:val="90"/>
              </w:rPr>
              <w:t>means the Electronic Transactions Act of the Cayman Islands and any statutory amendment or re-enactment thereof;</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“electronic record”</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has the meaning given to it in the Electronic Transactions Act and any amendment thereto or re-enactments thereof</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for the time being in force and includes every other law incorporated therewith or substituted therefor;</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“Executive Director”</w:t>
            </w:r>
          </w:p>
        </w:tc>
        <w:tc>
          <w:tcPr>
            <w:tcW w:w="8540" w:type="dxa"/>
            <w:vAlign w:val="bottom"/>
          </w:tcPr>
          <w:p>
            <w:pPr>
              <w:ind w:left="120"/>
              <w:spacing w:after="0"/>
              <w:rPr>
                <w:sz w:val="20"/>
                <w:szCs w:val="20"/>
                <w:color w:val="auto"/>
              </w:rPr>
            </w:pPr>
            <w:r>
              <w:rPr>
                <w:rFonts w:ascii="Arial" w:cs="Arial" w:eastAsia="Arial" w:hAnsi="Arial"/>
                <w:sz w:val="18"/>
                <w:szCs w:val="18"/>
                <w:color w:val="auto"/>
                <w:w w:val="93"/>
              </w:rPr>
              <w:t>refers to a Director of the Company who (i) is neither an Independent Director nor a Director who is affiliated with</w:t>
            </w:r>
          </w:p>
        </w:tc>
      </w:tr>
      <w:tr>
        <w:trPr>
          <w:trHeight w:val="216"/>
        </w:trPr>
        <w:tc>
          <w:tcPr>
            <w:tcW w:w="27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7"/>
              </w:rPr>
              <w:t>or was appointed to the Board by a holder or a group of Affiliated holders of preferred shares and/or Class A</w:t>
            </w:r>
          </w:p>
        </w:tc>
      </w:tr>
      <w:tr>
        <w:trPr>
          <w:trHeight w:val="216"/>
        </w:trPr>
        <w:tc>
          <w:tcPr>
            <w:tcW w:w="27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3"/>
              </w:rPr>
              <w:t>Ordinary Shares converted from preferred shares of the Company prior to the completion of the Company’s initial</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9"/>
              </w:rPr>
              <w:t>public offering of ADSs in the United States and (ii) maintains employment relationship with the Company.</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“Founder</w:t>
            </w:r>
            <w:r>
              <w:rPr>
                <w:rFonts w:ascii="Arial" w:cs="Arial" w:eastAsia="Arial" w:hAnsi="Arial"/>
                <w:sz w:val="18"/>
                <w:szCs w:val="18"/>
                <w:color w:val="auto"/>
              </w:rPr>
              <w:t>”</w:t>
            </w:r>
          </w:p>
        </w:tc>
        <w:tc>
          <w:tcPr>
            <w:tcW w:w="8540" w:type="dxa"/>
            <w:vAlign w:val="bottom"/>
          </w:tcPr>
          <w:p>
            <w:pPr>
              <w:ind w:left="120"/>
              <w:spacing w:after="0"/>
              <w:rPr>
                <w:sz w:val="20"/>
                <w:szCs w:val="20"/>
                <w:color w:val="auto"/>
              </w:rPr>
            </w:pPr>
            <w:r>
              <w:rPr>
                <w:rFonts w:ascii="Arial" w:cs="Arial" w:eastAsia="Arial" w:hAnsi="Arial"/>
                <w:sz w:val="18"/>
                <w:szCs w:val="18"/>
                <w:color w:val="auto"/>
              </w:rPr>
              <w:t>refers to Mr. Zheng Huang;</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“Founder Affiliate</w:t>
            </w:r>
            <w:r>
              <w:rPr>
                <w:rFonts w:ascii="Arial" w:cs="Arial" w:eastAsia="Arial" w:hAnsi="Arial"/>
                <w:sz w:val="18"/>
                <w:szCs w:val="18"/>
                <w:color w:val="auto"/>
              </w:rPr>
              <w:t>”</w:t>
            </w:r>
          </w:p>
        </w:tc>
        <w:tc>
          <w:tcPr>
            <w:tcW w:w="8540" w:type="dxa"/>
            <w:vAlign w:val="bottom"/>
          </w:tcPr>
          <w:p>
            <w:pPr>
              <w:ind w:left="120"/>
              <w:spacing w:after="0"/>
              <w:rPr>
                <w:sz w:val="20"/>
                <w:szCs w:val="20"/>
                <w:color w:val="auto"/>
              </w:rPr>
            </w:pPr>
            <w:r>
              <w:rPr>
                <w:rFonts w:ascii="Arial" w:cs="Arial" w:eastAsia="Arial" w:hAnsi="Arial"/>
                <w:sz w:val="18"/>
                <w:szCs w:val="18"/>
                <w:color w:val="auto"/>
              </w:rPr>
              <w:t>means any entity that is ultimately controlled by the Founder;</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“Independent Director”</w:t>
            </w:r>
          </w:p>
        </w:tc>
        <w:tc>
          <w:tcPr>
            <w:tcW w:w="8540" w:type="dxa"/>
            <w:vAlign w:val="bottom"/>
          </w:tcPr>
          <w:p>
            <w:pPr>
              <w:ind w:left="120"/>
              <w:spacing w:after="0"/>
              <w:rPr>
                <w:sz w:val="20"/>
                <w:szCs w:val="20"/>
                <w:color w:val="auto"/>
              </w:rPr>
            </w:pPr>
            <w:r>
              <w:rPr>
                <w:rFonts w:ascii="Arial" w:cs="Arial" w:eastAsia="Arial" w:hAnsi="Arial"/>
                <w:sz w:val="18"/>
                <w:szCs w:val="18"/>
                <w:color w:val="auto"/>
                <w:w w:val="90"/>
              </w:rPr>
              <w:t>means a Director who is an independent director as defined in the Designated Stock Exchange Rules as determined</w:t>
            </w:r>
          </w:p>
        </w:tc>
      </w:tr>
      <w:tr>
        <w:trPr>
          <w:trHeight w:val="230"/>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by the Board;</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“Memorandum of Association”</w:t>
            </w:r>
          </w:p>
        </w:tc>
        <w:tc>
          <w:tcPr>
            <w:tcW w:w="8540" w:type="dxa"/>
            <w:vAlign w:val="bottom"/>
          </w:tcPr>
          <w:p>
            <w:pPr>
              <w:ind w:left="120"/>
              <w:spacing w:after="0"/>
              <w:rPr>
                <w:sz w:val="20"/>
                <w:szCs w:val="20"/>
                <w:color w:val="auto"/>
              </w:rPr>
            </w:pPr>
            <w:r>
              <w:rPr>
                <w:rFonts w:ascii="Arial" w:cs="Arial" w:eastAsia="Arial" w:hAnsi="Arial"/>
                <w:sz w:val="18"/>
                <w:szCs w:val="18"/>
                <w:color w:val="auto"/>
              </w:rPr>
              <w:t>means the memorandum of association of the Company, as amended or substituted from time to time;</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“Ordinary Resolution”</w:t>
            </w:r>
          </w:p>
        </w:tc>
        <w:tc>
          <w:tcPr>
            <w:tcW w:w="8540" w:type="dxa"/>
            <w:vAlign w:val="bottom"/>
          </w:tcPr>
          <w:p>
            <w:pPr>
              <w:ind w:left="120"/>
              <w:spacing w:after="0"/>
              <w:rPr>
                <w:sz w:val="20"/>
                <w:szCs w:val="20"/>
                <w:color w:val="auto"/>
              </w:rPr>
            </w:pPr>
            <w:r>
              <w:rPr>
                <w:rFonts w:ascii="Arial" w:cs="Arial" w:eastAsia="Arial" w:hAnsi="Arial"/>
                <w:sz w:val="18"/>
                <w:szCs w:val="18"/>
                <w:color w:val="auto"/>
              </w:rPr>
              <w:t>means a resolution:</w:t>
            </w:r>
          </w:p>
        </w:tc>
      </w:tr>
      <w:tr>
        <w:trPr>
          <w:trHeight w:val="418"/>
        </w:trPr>
        <w:tc>
          <w:tcPr>
            <w:tcW w:w="2700" w:type="dxa"/>
            <w:vAlign w:val="bottom"/>
          </w:tcPr>
          <w:p>
            <w:pPr>
              <w:spacing w:after="0"/>
              <w:rPr>
                <w:sz w:val="24"/>
                <w:szCs w:val="24"/>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89"/>
              </w:rPr>
              <w:t>(a)       passed by a simple majority of the votes cast by such Shareholders as, being entitled to do so, vote in person or,</w:t>
            </w:r>
          </w:p>
        </w:tc>
      </w:tr>
      <w:tr>
        <w:trPr>
          <w:trHeight w:val="216"/>
        </w:trPr>
        <w:tc>
          <w:tcPr>
            <w:tcW w:w="2700" w:type="dxa"/>
            <w:vAlign w:val="bottom"/>
          </w:tcPr>
          <w:p>
            <w:pPr>
              <w:spacing w:after="0"/>
              <w:rPr>
                <w:sz w:val="18"/>
                <w:szCs w:val="18"/>
                <w:color w:val="auto"/>
              </w:rPr>
            </w:pPr>
          </w:p>
        </w:tc>
        <w:tc>
          <w:tcPr>
            <w:tcW w:w="8540" w:type="dxa"/>
            <w:vAlign w:val="bottom"/>
          </w:tcPr>
          <w:p>
            <w:pPr>
              <w:ind w:left="580"/>
              <w:spacing w:after="0"/>
              <w:rPr>
                <w:sz w:val="20"/>
                <w:szCs w:val="20"/>
                <w:color w:val="auto"/>
              </w:rPr>
            </w:pPr>
            <w:r>
              <w:rPr>
                <w:rFonts w:ascii="Arial" w:cs="Arial" w:eastAsia="Arial" w:hAnsi="Arial"/>
                <w:sz w:val="18"/>
                <w:szCs w:val="18"/>
                <w:color w:val="auto"/>
                <w:w w:val="90"/>
              </w:rPr>
              <w:t>where proxies are allowed, by proxy or, in the case of corporations, by their duly authorised representatives, at</w:t>
            </w:r>
          </w:p>
        </w:tc>
      </w:tr>
      <w:tr>
        <w:trPr>
          <w:trHeight w:val="230"/>
        </w:trPr>
        <w:tc>
          <w:tcPr>
            <w:tcW w:w="2700" w:type="dxa"/>
            <w:vAlign w:val="bottom"/>
          </w:tcPr>
          <w:p>
            <w:pPr>
              <w:spacing w:after="0"/>
              <w:rPr>
                <w:sz w:val="20"/>
                <w:szCs w:val="20"/>
                <w:color w:val="auto"/>
              </w:rPr>
            </w:pPr>
          </w:p>
        </w:tc>
        <w:tc>
          <w:tcPr>
            <w:tcW w:w="8540" w:type="dxa"/>
            <w:vAlign w:val="bottom"/>
          </w:tcPr>
          <w:p>
            <w:pPr>
              <w:ind w:left="580"/>
              <w:spacing w:after="0"/>
              <w:rPr>
                <w:sz w:val="20"/>
                <w:szCs w:val="20"/>
                <w:color w:val="auto"/>
              </w:rPr>
            </w:pPr>
            <w:r>
              <w:rPr>
                <w:rFonts w:ascii="Arial" w:cs="Arial" w:eastAsia="Arial" w:hAnsi="Arial"/>
                <w:sz w:val="18"/>
                <w:szCs w:val="18"/>
                <w:color w:val="auto"/>
              </w:rPr>
              <w:t>a general meeting of the Company held in accordance with these Articles; or</w:t>
            </w:r>
          </w:p>
        </w:tc>
      </w:tr>
      <w:tr>
        <w:trPr>
          <w:trHeight w:val="418"/>
        </w:trPr>
        <w:tc>
          <w:tcPr>
            <w:tcW w:w="2700" w:type="dxa"/>
            <w:vAlign w:val="bottom"/>
          </w:tcPr>
          <w:p>
            <w:pPr>
              <w:spacing w:after="0"/>
              <w:rPr>
                <w:sz w:val="24"/>
                <w:szCs w:val="24"/>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2"/>
              </w:rPr>
              <w:t>(b)       approved in writing by all of the Shareholders entitled to vote at a general meeting of the Company in one or</w:t>
            </w:r>
          </w:p>
        </w:tc>
      </w:tr>
      <w:tr>
        <w:trPr>
          <w:trHeight w:val="216"/>
        </w:trPr>
        <w:tc>
          <w:tcPr>
            <w:tcW w:w="2700" w:type="dxa"/>
            <w:vAlign w:val="bottom"/>
          </w:tcPr>
          <w:p>
            <w:pPr>
              <w:spacing w:after="0"/>
              <w:rPr>
                <w:sz w:val="18"/>
                <w:szCs w:val="18"/>
                <w:color w:val="auto"/>
              </w:rPr>
            </w:pPr>
          </w:p>
        </w:tc>
        <w:tc>
          <w:tcPr>
            <w:tcW w:w="8540" w:type="dxa"/>
            <w:vAlign w:val="bottom"/>
          </w:tcPr>
          <w:p>
            <w:pPr>
              <w:ind w:left="580"/>
              <w:spacing w:after="0"/>
              <w:rPr>
                <w:sz w:val="20"/>
                <w:szCs w:val="20"/>
                <w:color w:val="auto"/>
              </w:rPr>
            </w:pPr>
            <w:r>
              <w:rPr>
                <w:rFonts w:ascii="Arial" w:cs="Arial" w:eastAsia="Arial" w:hAnsi="Arial"/>
                <w:sz w:val="18"/>
                <w:szCs w:val="18"/>
                <w:color w:val="auto"/>
                <w:w w:val="91"/>
              </w:rPr>
              <w:t>more instruments each signed by one or more of the Shareholders and the effective date of the resolution so</w:t>
            </w:r>
          </w:p>
        </w:tc>
      </w:tr>
      <w:tr>
        <w:trPr>
          <w:trHeight w:val="216"/>
        </w:trPr>
        <w:tc>
          <w:tcPr>
            <w:tcW w:w="2700" w:type="dxa"/>
            <w:vAlign w:val="bottom"/>
          </w:tcPr>
          <w:p>
            <w:pPr>
              <w:spacing w:after="0"/>
              <w:rPr>
                <w:sz w:val="18"/>
                <w:szCs w:val="18"/>
                <w:color w:val="auto"/>
              </w:rPr>
            </w:pPr>
          </w:p>
        </w:tc>
        <w:tc>
          <w:tcPr>
            <w:tcW w:w="8540" w:type="dxa"/>
            <w:vAlign w:val="bottom"/>
          </w:tcPr>
          <w:p>
            <w:pPr>
              <w:ind w:left="580"/>
              <w:spacing w:after="0"/>
              <w:rPr>
                <w:sz w:val="20"/>
                <w:szCs w:val="20"/>
                <w:color w:val="auto"/>
              </w:rPr>
            </w:pPr>
            <w:r>
              <w:rPr>
                <w:rFonts w:ascii="Arial" w:cs="Arial" w:eastAsia="Arial" w:hAnsi="Arial"/>
                <w:sz w:val="18"/>
                <w:szCs w:val="18"/>
                <w:color w:val="auto"/>
                <w:w w:val="97"/>
              </w:rPr>
              <w:t>adopted shall be the date on which the instrument, or the last of such instruments, if more than one, is</w:t>
            </w:r>
          </w:p>
        </w:tc>
      </w:tr>
      <w:tr>
        <w:trPr>
          <w:trHeight w:val="230"/>
        </w:trPr>
        <w:tc>
          <w:tcPr>
            <w:tcW w:w="2700" w:type="dxa"/>
            <w:vAlign w:val="bottom"/>
          </w:tcPr>
          <w:p>
            <w:pPr>
              <w:spacing w:after="0"/>
              <w:rPr>
                <w:sz w:val="20"/>
                <w:szCs w:val="20"/>
                <w:color w:val="auto"/>
              </w:rPr>
            </w:pPr>
          </w:p>
        </w:tc>
        <w:tc>
          <w:tcPr>
            <w:tcW w:w="8540" w:type="dxa"/>
            <w:vAlign w:val="bottom"/>
          </w:tcPr>
          <w:p>
            <w:pPr>
              <w:ind w:left="580"/>
              <w:spacing w:after="0"/>
              <w:rPr>
                <w:sz w:val="20"/>
                <w:szCs w:val="20"/>
                <w:color w:val="auto"/>
              </w:rPr>
            </w:pPr>
            <w:r>
              <w:rPr>
                <w:rFonts w:ascii="Arial" w:cs="Arial" w:eastAsia="Arial" w:hAnsi="Arial"/>
                <w:sz w:val="18"/>
                <w:szCs w:val="18"/>
                <w:color w:val="auto"/>
              </w:rPr>
              <w:t>executed;</w:t>
            </w:r>
          </w:p>
        </w:tc>
      </w:tr>
      <w:tr>
        <w:trPr>
          <w:trHeight w:val="675"/>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“Ordinary Share”</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a Class A Ordinary Share or a Class B Ordinary Share;</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“paid up”</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paid up as to the par value in respect of the issue of any Shares and includes credited as paid up;</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“Partnership”</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Qubit Partners L.P., a Cayman Islands exempted limited partnership;</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“Partnership Agreement”</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the exempted limited partnership agreement for the Partnership;</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“Partnership Condition”</w:t>
            </w:r>
          </w:p>
        </w:tc>
        <w:tc>
          <w:tcPr>
            <w:tcW w:w="8680" w:type="dxa"/>
            <w:vAlign w:val="bottom"/>
          </w:tcPr>
          <w:p>
            <w:pPr>
              <w:ind w:left="260"/>
              <w:spacing w:after="0"/>
              <w:rPr>
                <w:sz w:val="20"/>
                <w:szCs w:val="20"/>
                <w:color w:val="auto"/>
              </w:rPr>
            </w:pPr>
            <w:r>
              <w:rPr>
                <w:rFonts w:ascii="Arial" w:cs="Arial" w:eastAsia="Arial" w:hAnsi="Arial"/>
                <w:sz w:val="18"/>
                <w:szCs w:val="18"/>
                <w:color w:val="auto"/>
                <w:w w:val="91"/>
              </w:rPr>
              <w:t>means that (i) the Partnership consists of at least five (5) limited partners and (ii) the Partnership is operating under</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the terms of the Partnership Agreement, as amended from time to time;</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8680" w:type="dxa"/>
            <w:vAlign w:val="bottom"/>
          </w:tcPr>
          <w:p>
            <w:pPr>
              <w:ind w:left="260"/>
              <w:spacing w:after="0"/>
              <w:rPr>
                <w:sz w:val="20"/>
                <w:szCs w:val="20"/>
                <w:color w:val="auto"/>
              </w:rPr>
            </w:pPr>
            <w:r>
              <w:rPr>
                <w:rFonts w:ascii="Arial" w:cs="Arial" w:eastAsia="Arial" w:hAnsi="Arial"/>
                <w:sz w:val="18"/>
                <w:szCs w:val="18"/>
                <w:color w:val="auto"/>
                <w:w w:val="98"/>
              </w:rPr>
              <w:t>means any natural person, firm, company, joint venture, partnership, corporation, association or other entity</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(whether or not having a separate legal personality) or any of them as the context so requires;</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“Register”</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the register of Members of the Company maintained in accordance with the Companies Act;</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the registered office of the Company as required by the Companies Act;</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“Seal”</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the common seal of the Company (if adopted) including any facsimile thereof;</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“Secretary”</w:t>
            </w:r>
          </w:p>
        </w:tc>
        <w:tc>
          <w:tcPr>
            <w:tcW w:w="8680" w:type="dxa"/>
            <w:vAlign w:val="bottom"/>
          </w:tcPr>
          <w:p>
            <w:pPr>
              <w:ind w:left="260"/>
              <w:spacing w:after="0"/>
              <w:rPr>
                <w:sz w:val="20"/>
                <w:szCs w:val="20"/>
                <w:color w:val="auto"/>
              </w:rPr>
            </w:pPr>
            <w:r>
              <w:rPr>
                <w:rFonts w:ascii="Arial" w:cs="Arial" w:eastAsia="Arial" w:hAnsi="Arial"/>
                <w:sz w:val="18"/>
                <w:szCs w:val="18"/>
                <w:color w:val="auto"/>
                <w:w w:val="98"/>
              </w:rPr>
              <w:t>means any Person appointed by the Directors to perform any of the duties of the secretary of the Company;</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680" w:type="dxa"/>
            <w:vAlign w:val="bottom"/>
          </w:tcPr>
          <w:p>
            <w:pPr>
              <w:ind w:left="260"/>
              <w:spacing w:after="0"/>
              <w:rPr>
                <w:sz w:val="20"/>
                <w:szCs w:val="20"/>
                <w:color w:val="auto"/>
              </w:rPr>
            </w:pPr>
            <w:r>
              <w:rPr>
                <w:rFonts w:ascii="Arial" w:cs="Arial" w:eastAsia="Arial" w:hAnsi="Arial"/>
                <w:sz w:val="18"/>
                <w:szCs w:val="18"/>
                <w:color w:val="auto"/>
                <w:w w:val="90"/>
              </w:rPr>
              <w:t>means the Securities Act of 1933 of the United States of America, as amended, or any similar federal statute and the</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rules and regulations of the Commission thereunder, all as the same shall be in effect at the time;</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8680" w:type="dxa"/>
            <w:vAlign w:val="bottom"/>
          </w:tcPr>
          <w:p>
            <w:pPr>
              <w:ind w:left="260"/>
              <w:spacing w:after="0"/>
              <w:rPr>
                <w:sz w:val="20"/>
                <w:szCs w:val="20"/>
                <w:color w:val="auto"/>
              </w:rPr>
            </w:pPr>
            <w:r>
              <w:rPr>
                <w:rFonts w:ascii="Arial" w:cs="Arial" w:eastAsia="Arial" w:hAnsi="Arial"/>
                <w:sz w:val="18"/>
                <w:szCs w:val="18"/>
                <w:color w:val="auto"/>
                <w:w w:val="90"/>
              </w:rPr>
              <w:t>means a share in the capital of the Company. All references to “Shares” herein shall be deemed to be Shares of any</w:t>
            </w:r>
          </w:p>
        </w:tc>
      </w:tr>
      <w:tr>
        <w:trPr>
          <w:trHeight w:val="216"/>
        </w:trPr>
        <w:tc>
          <w:tcPr>
            <w:tcW w:w="256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w w:val="92"/>
              </w:rPr>
              <w:t>or all Classes as the context may require. For the avoidance of doubt in these Articles the expression “Share” shall</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include a fraction of a Share;</w:t>
            </w:r>
          </w:p>
        </w:tc>
      </w:tr>
      <w:tr>
        <w:trPr>
          <w:trHeight w:val="414"/>
        </w:trPr>
        <w:tc>
          <w:tcPr>
            <w:tcW w:w="2560" w:type="dxa"/>
            <w:vAlign w:val="bottom"/>
          </w:tcPr>
          <w:p>
            <w:pPr>
              <w:spacing w:after="0"/>
              <w:rPr>
                <w:sz w:val="20"/>
                <w:szCs w:val="20"/>
                <w:color w:val="auto"/>
              </w:rPr>
            </w:pPr>
            <w:r>
              <w:rPr>
                <w:rFonts w:ascii="Arial" w:cs="Arial" w:eastAsia="Arial" w:hAnsi="Arial"/>
                <w:sz w:val="18"/>
                <w:szCs w:val="18"/>
                <w:b w:val="1"/>
                <w:bCs w:val="1"/>
                <w:color w:val="auto"/>
              </w:rPr>
              <w:t>“Shareholder” or “Member”</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a Person who is registered as the holder of one or more Shares in the Register;</w:t>
            </w: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“Share Premium Account”</w:t>
            </w:r>
          </w:p>
        </w:tc>
        <w:tc>
          <w:tcPr>
            <w:tcW w:w="8680" w:type="dxa"/>
            <w:vAlign w:val="bottom"/>
          </w:tcPr>
          <w:p>
            <w:pPr>
              <w:ind w:left="260"/>
              <w:spacing w:after="0"/>
              <w:rPr>
                <w:sz w:val="20"/>
                <w:szCs w:val="20"/>
                <w:color w:val="auto"/>
              </w:rPr>
            </w:pPr>
            <w:r>
              <w:rPr>
                <w:rFonts w:ascii="Arial" w:cs="Arial" w:eastAsia="Arial" w:hAnsi="Arial"/>
                <w:sz w:val="18"/>
                <w:szCs w:val="18"/>
                <w:color w:val="auto"/>
              </w:rPr>
              <w:t>means the share premium account established in accordance with these Articles and the Companies Act;</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“signed”</w:t>
            </w:r>
          </w:p>
        </w:tc>
        <w:tc>
          <w:tcPr>
            <w:tcW w:w="8680" w:type="dxa"/>
            <w:vAlign w:val="bottom"/>
          </w:tcPr>
          <w:p>
            <w:pPr>
              <w:ind w:left="260"/>
              <w:spacing w:after="0"/>
              <w:rPr>
                <w:sz w:val="20"/>
                <w:szCs w:val="20"/>
                <w:color w:val="auto"/>
              </w:rPr>
            </w:pPr>
            <w:r>
              <w:rPr>
                <w:rFonts w:ascii="Arial" w:cs="Arial" w:eastAsia="Arial" w:hAnsi="Arial"/>
                <w:sz w:val="18"/>
                <w:szCs w:val="18"/>
                <w:color w:val="auto"/>
                <w:w w:val="91"/>
              </w:rPr>
              <w:t>means bearing a signature or representation of a signature affixed by mechanical means or an electronic symbol or</w:t>
            </w:r>
          </w:p>
        </w:tc>
      </w:tr>
      <w:tr>
        <w:trPr>
          <w:trHeight w:val="216"/>
        </w:trPr>
        <w:tc>
          <w:tcPr>
            <w:tcW w:w="256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w w:val="91"/>
              </w:rPr>
              <w:t>process attached to or logically associated with an electronic communication and executed or adopted by a Person</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with the intent to sign the electronic communication;</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“Special Partnership Matter”</w:t>
            </w:r>
          </w:p>
        </w:tc>
        <w:tc>
          <w:tcPr>
            <w:tcW w:w="8680" w:type="dxa"/>
            <w:vAlign w:val="bottom"/>
          </w:tcPr>
          <w:p>
            <w:pPr>
              <w:ind w:left="260"/>
              <w:spacing w:after="0"/>
              <w:rPr>
                <w:sz w:val="20"/>
                <w:szCs w:val="20"/>
                <w:color w:val="auto"/>
              </w:rPr>
            </w:pPr>
            <w:r>
              <w:rPr>
                <w:rFonts w:ascii="Arial" w:cs="Arial" w:eastAsia="Arial" w:hAnsi="Arial"/>
                <w:sz w:val="18"/>
                <w:szCs w:val="18"/>
                <w:color w:val="auto"/>
                <w:w w:val="91"/>
              </w:rPr>
              <w:t>means, for so long as the Partnership Condition is satisfied, the matters set out in Articles 88 through 92, Article 101</w:t>
            </w:r>
          </w:p>
        </w:tc>
      </w:tr>
      <w:tr>
        <w:trPr>
          <w:trHeight w:val="216"/>
        </w:trPr>
        <w:tc>
          <w:tcPr>
            <w:tcW w:w="256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w w:val="98"/>
              </w:rPr>
              <w:t>and the definitions of “Partnership,” “Partnership Agreement,” “Partnership Condition,” “Special Partnership</w:t>
            </w:r>
          </w:p>
        </w:tc>
      </w:tr>
      <w:tr>
        <w:trPr>
          <w:trHeight w:val="230"/>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Matter” and “Special Resolution” under these Articles;</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“Special Resolution”</w:t>
            </w:r>
          </w:p>
        </w:tc>
        <w:tc>
          <w:tcPr>
            <w:tcW w:w="8680" w:type="dxa"/>
            <w:vAlign w:val="bottom"/>
          </w:tcPr>
          <w:p>
            <w:pPr>
              <w:ind w:left="260"/>
              <w:spacing w:after="0"/>
              <w:rPr>
                <w:sz w:val="20"/>
                <w:szCs w:val="20"/>
                <w:color w:val="auto"/>
              </w:rPr>
            </w:pPr>
            <w:r>
              <w:rPr>
                <w:rFonts w:ascii="Arial" w:cs="Arial" w:eastAsia="Arial" w:hAnsi="Arial"/>
                <w:sz w:val="18"/>
                <w:szCs w:val="18"/>
                <w:color w:val="auto"/>
                <w:w w:val="95"/>
              </w:rPr>
              <w:t>means a special resolution of the Company passed in accordance with the Companies Law, being a resolution:</w:t>
            </w:r>
          </w:p>
        </w:tc>
      </w:tr>
      <w:tr>
        <w:trPr>
          <w:trHeight w:val="418"/>
        </w:trPr>
        <w:tc>
          <w:tcPr>
            <w:tcW w:w="2560" w:type="dxa"/>
            <w:vAlign w:val="bottom"/>
          </w:tcPr>
          <w:p>
            <w:pPr>
              <w:spacing w:after="0"/>
              <w:rPr>
                <w:sz w:val="24"/>
                <w:szCs w:val="24"/>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w w:val="89"/>
              </w:rPr>
              <w:t>(a)        passed by not less than two-thirds (or, in respect of any resolution relating to a Special Partnership Matter, or in</w:t>
            </w:r>
          </w:p>
        </w:tc>
      </w:tr>
      <w:tr>
        <w:trPr>
          <w:trHeight w:val="216"/>
        </w:trPr>
        <w:tc>
          <w:tcPr>
            <w:tcW w:w="2560" w:type="dxa"/>
            <w:vAlign w:val="bottom"/>
          </w:tcPr>
          <w:p>
            <w:pPr>
              <w:spacing w:after="0"/>
              <w:rPr>
                <w:sz w:val="18"/>
                <w:szCs w:val="18"/>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rPr>
              <w:t>any way having the effect of affecting a Special Partnership Matter, including, without limitation, any</w:t>
            </w:r>
          </w:p>
        </w:tc>
      </w:tr>
      <w:tr>
        <w:trPr>
          <w:trHeight w:val="216"/>
        </w:trPr>
        <w:tc>
          <w:tcPr>
            <w:tcW w:w="2560" w:type="dxa"/>
            <w:vAlign w:val="bottom"/>
          </w:tcPr>
          <w:p>
            <w:pPr>
              <w:spacing w:after="0"/>
              <w:rPr>
                <w:sz w:val="18"/>
                <w:szCs w:val="18"/>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w w:val="99"/>
              </w:rPr>
              <w:t>amendment to the provisions of the Articles or Memorandum of Association which relate to a Special</w:t>
            </w:r>
          </w:p>
        </w:tc>
      </w:tr>
      <w:tr>
        <w:trPr>
          <w:trHeight w:val="216"/>
        </w:trPr>
        <w:tc>
          <w:tcPr>
            <w:tcW w:w="2560" w:type="dxa"/>
            <w:vAlign w:val="bottom"/>
          </w:tcPr>
          <w:p>
            <w:pPr>
              <w:spacing w:after="0"/>
              <w:rPr>
                <w:sz w:val="18"/>
                <w:szCs w:val="18"/>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w w:val="90"/>
              </w:rPr>
              <w:t>Partnership Matter, 95%) of the votes cast by such Shareholders as, being entitled to do so, vote in person or,</w:t>
            </w:r>
          </w:p>
        </w:tc>
      </w:tr>
      <w:tr>
        <w:trPr>
          <w:trHeight w:val="216"/>
        </w:trPr>
        <w:tc>
          <w:tcPr>
            <w:tcW w:w="2560" w:type="dxa"/>
            <w:vAlign w:val="bottom"/>
          </w:tcPr>
          <w:p>
            <w:pPr>
              <w:spacing w:after="0"/>
              <w:rPr>
                <w:sz w:val="18"/>
                <w:szCs w:val="18"/>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w w:val="90"/>
              </w:rPr>
              <w:t>where proxies are allowed, by proxy or, in the case of corporations, by their duly authorised representatives, at</w:t>
            </w:r>
          </w:p>
        </w:tc>
      </w:tr>
      <w:tr>
        <w:trPr>
          <w:trHeight w:val="216"/>
        </w:trPr>
        <w:tc>
          <w:tcPr>
            <w:tcW w:w="2560" w:type="dxa"/>
            <w:vAlign w:val="bottom"/>
          </w:tcPr>
          <w:p>
            <w:pPr>
              <w:spacing w:after="0"/>
              <w:rPr>
                <w:sz w:val="18"/>
                <w:szCs w:val="18"/>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w w:val="95"/>
              </w:rPr>
              <w:t>a general meeting of the Company of which notice specifying the intention to propose the resolution as a</w:t>
            </w:r>
          </w:p>
        </w:tc>
      </w:tr>
      <w:tr>
        <w:trPr>
          <w:trHeight w:val="230"/>
        </w:trPr>
        <w:tc>
          <w:tcPr>
            <w:tcW w:w="2560" w:type="dxa"/>
            <w:vAlign w:val="bottom"/>
          </w:tcPr>
          <w:p>
            <w:pPr>
              <w:spacing w:after="0"/>
              <w:rPr>
                <w:sz w:val="20"/>
                <w:szCs w:val="20"/>
                <w:color w:val="auto"/>
              </w:rPr>
            </w:pPr>
          </w:p>
        </w:tc>
        <w:tc>
          <w:tcPr>
            <w:tcW w:w="8680" w:type="dxa"/>
            <w:vAlign w:val="bottom"/>
          </w:tcPr>
          <w:p>
            <w:pPr>
              <w:ind w:left="720"/>
              <w:spacing w:after="0"/>
              <w:rPr>
                <w:sz w:val="20"/>
                <w:szCs w:val="20"/>
                <w:color w:val="auto"/>
              </w:rPr>
            </w:pPr>
            <w:r>
              <w:rPr>
                <w:rFonts w:ascii="Arial" w:cs="Arial" w:eastAsia="Arial" w:hAnsi="Arial"/>
                <w:sz w:val="18"/>
                <w:szCs w:val="18"/>
                <w:color w:val="auto"/>
              </w:rPr>
              <w:t>special resolution has been duly given; or</w:t>
            </w:r>
          </w:p>
        </w:tc>
      </w:tr>
      <w:tr>
        <w:trPr>
          <w:trHeight w:val="675"/>
        </w:trPr>
        <w:tc>
          <w:tcPr>
            <w:tcW w:w="25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31" w:right="339" w:bottom="1440" w:gutter="0" w:footer="0" w:header="0"/>
        </w:sectPr>
      </w:pPr>
    </w:p>
    <w:bookmarkStart w:id="9" w:name="page10"/>
    <w:bookmarkEnd w:id="9"/>
    <w:p>
      <w:pPr>
        <w:ind w:left="3300" w:right="220" w:hanging="491"/>
        <w:spacing w:after="0" w:line="259" w:lineRule="auto"/>
        <w:rPr>
          <w:sz w:val="20"/>
          <w:szCs w:val="20"/>
          <w:color w:val="auto"/>
        </w:rPr>
      </w:pPr>
      <w:r>
        <w:rPr>
          <w:rFonts w:ascii="Arial" w:cs="Arial" w:eastAsia="Arial" w:hAnsi="Arial"/>
          <w:sz w:val="18"/>
          <w:szCs w:val="18"/>
          <w:color w:val="auto"/>
        </w:rPr>
        <w:t>(b)       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ectPr>
          <w:pgSz w:w="11900" w:h="16838" w:orient="portrait"/>
          <w:cols w:equalWidth="0" w:num="1">
            <w:col w:w="11240"/>
          </w:cols>
          <w:pgMar w:left="320" w:top="935" w:right="3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Share”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a Share held in the name of the Company as a treasury share in accordance with the Companies Act; and</w:t>
      </w:r>
    </w:p>
    <w:p>
      <w:pPr>
        <w:spacing w:after="0" w:line="200" w:lineRule="exact"/>
        <w:rPr>
          <w:sz w:val="20"/>
          <w:szCs w:val="20"/>
          <w:color w:val="auto"/>
        </w:rPr>
      </w:pPr>
    </w:p>
    <w:p>
      <w:pPr>
        <w:sectPr>
          <w:pgSz w:w="11900" w:h="16838" w:orient="portrait"/>
          <w:cols w:equalWidth="0" w:num="2">
            <w:col w:w="2100" w:space="720"/>
            <w:col w:w="8420"/>
          </w:cols>
          <w:pgMar w:left="320" w:top="935"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United States of America, its territories, its possessions and all areas subject to its jurisdiction.</w:t>
      </w:r>
    </w:p>
    <w:p>
      <w:pPr>
        <w:spacing w:after="0" w:line="200" w:lineRule="exact"/>
        <w:rPr>
          <w:sz w:val="20"/>
          <w:szCs w:val="20"/>
          <w:color w:val="auto"/>
        </w:rPr>
      </w:pPr>
    </w:p>
    <w:p>
      <w:pPr>
        <w:sectPr>
          <w:pgSz w:w="11900" w:h="16838" w:orient="portrait"/>
          <w:cols w:equalWidth="0" w:num="2">
            <w:col w:w="2100" w:space="720"/>
            <w:col w:w="8420"/>
          </w:cols>
          <w:pgMar w:left="320" w:top="935" w:right="339" w:bottom="1440" w:gutter="0" w:footer="0" w:header="0"/>
          <w:type w:val="continuous"/>
        </w:sectPr>
      </w:pPr>
    </w:p>
    <w:p>
      <w:pPr>
        <w:spacing w:after="0" w:line="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225" w:lineRule="exact"/>
        <w:rPr>
          <w:rFonts w:ascii="Arial" w:cs="Arial" w:eastAsia="Arial" w:hAnsi="Arial"/>
          <w:sz w:val="18"/>
          <w:szCs w:val="18"/>
          <w:color w:val="auto"/>
        </w:rPr>
      </w:pPr>
    </w:p>
    <w:p>
      <w:pPr>
        <w:ind w:left="1960" w:hanging="1304"/>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225" w:lineRule="exact"/>
        <w:rPr>
          <w:rFonts w:ascii="Arial" w:cs="Arial" w:eastAsia="Arial" w:hAnsi="Arial"/>
          <w:sz w:val="18"/>
          <w:szCs w:val="18"/>
          <w:color w:val="auto"/>
        </w:rPr>
      </w:pPr>
    </w:p>
    <w:p>
      <w:pPr>
        <w:ind w:left="1960" w:hanging="1304"/>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words importing the masculine gender only shall include the feminine gender and any Person as the context may require;</w:t>
      </w:r>
    </w:p>
    <w:p>
      <w:pPr>
        <w:spacing w:after="0" w:line="236" w:lineRule="exact"/>
        <w:rPr>
          <w:rFonts w:ascii="Arial" w:cs="Arial" w:eastAsia="Arial" w:hAnsi="Arial"/>
          <w:sz w:val="17"/>
          <w:szCs w:val="17"/>
          <w:color w:val="auto"/>
        </w:rPr>
      </w:pPr>
    </w:p>
    <w:p>
      <w:pPr>
        <w:ind w:left="1960" w:hanging="1304"/>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225" w:lineRule="exact"/>
        <w:rPr>
          <w:rFonts w:ascii="Arial" w:cs="Arial" w:eastAsia="Arial" w:hAnsi="Arial"/>
          <w:sz w:val="18"/>
          <w:szCs w:val="18"/>
          <w:color w:val="auto"/>
        </w:rPr>
      </w:pPr>
    </w:p>
    <w:p>
      <w:pPr>
        <w:ind w:left="1960" w:hanging="1304"/>
        <w:spacing w:after="0"/>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reference to a dollar or dollars (or US$) and to a cent or cents is reference to dollars and cents of the United States of America;</w:t>
      </w:r>
    </w:p>
    <w:p>
      <w:pPr>
        <w:spacing w:after="0" w:line="248" w:lineRule="exact"/>
        <w:rPr>
          <w:rFonts w:ascii="Arial" w:cs="Arial" w:eastAsia="Arial" w:hAnsi="Arial"/>
          <w:sz w:val="16"/>
          <w:szCs w:val="16"/>
          <w:color w:val="auto"/>
        </w:rPr>
      </w:pPr>
    </w:p>
    <w:p>
      <w:pPr>
        <w:ind w:left="1960" w:hanging="1304"/>
        <w:spacing w:after="0"/>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reference to a statutory enactment shall include reference to any amendment or re-enactment thereof for the time being in force;</w:t>
      </w:r>
    </w:p>
    <w:p>
      <w:pPr>
        <w:spacing w:after="0" w:line="248" w:lineRule="exact"/>
        <w:rPr>
          <w:rFonts w:ascii="Arial" w:cs="Arial" w:eastAsia="Arial" w:hAnsi="Arial"/>
          <w:sz w:val="16"/>
          <w:szCs w:val="16"/>
          <w:color w:val="auto"/>
        </w:rPr>
      </w:pPr>
    </w:p>
    <w:p>
      <w:pPr>
        <w:ind w:left="1960" w:hanging="1304"/>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70" w:lineRule="exact"/>
        <w:rPr>
          <w:rFonts w:ascii="Arial" w:cs="Arial" w:eastAsia="Arial" w:hAnsi="Arial"/>
          <w:sz w:val="18"/>
          <w:szCs w:val="18"/>
          <w:color w:val="auto"/>
        </w:rPr>
      </w:pPr>
    </w:p>
    <w:p>
      <w:pPr>
        <w:ind w:left="1960" w:right="160" w:hanging="1304"/>
        <w:spacing w:after="0" w:line="286"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65" w:lineRule="exact"/>
        <w:rPr>
          <w:rFonts w:ascii="Arial" w:cs="Arial" w:eastAsia="Arial" w:hAnsi="Arial"/>
          <w:sz w:val="17"/>
          <w:szCs w:val="17"/>
          <w:color w:val="auto"/>
        </w:rPr>
      </w:pPr>
    </w:p>
    <w:p>
      <w:pPr>
        <w:ind w:left="1960" w:right="800" w:hanging="1304"/>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 or an electronic communication;</w:t>
      </w:r>
    </w:p>
    <w:p>
      <w:pPr>
        <w:spacing w:after="0" w:line="170" w:lineRule="exact"/>
        <w:rPr>
          <w:rFonts w:ascii="Arial" w:cs="Arial" w:eastAsia="Arial" w:hAnsi="Arial"/>
          <w:sz w:val="18"/>
          <w:szCs w:val="18"/>
          <w:color w:val="auto"/>
        </w:rPr>
      </w:pPr>
    </w:p>
    <w:p>
      <w:pPr>
        <w:ind w:left="1960" w:right="440" w:hanging="1304"/>
        <w:spacing w:after="0" w:line="308"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46" w:lineRule="exact"/>
        <w:rPr>
          <w:rFonts w:ascii="Arial" w:cs="Arial" w:eastAsia="Arial" w:hAnsi="Arial"/>
          <w:sz w:val="17"/>
          <w:szCs w:val="17"/>
          <w:color w:val="auto"/>
        </w:rPr>
      </w:pPr>
    </w:p>
    <w:p>
      <w:pPr>
        <w:ind w:left="1960" w:hanging="1304"/>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Sections 8 and 19(3)of the Electronic Transactions Act shall not apply.</w:t>
      </w:r>
    </w:p>
    <w:p>
      <w:pPr>
        <w:spacing w:after="0" w:line="225"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Companies Act shall, if not inconsistent with the subject or context, bear the same meaning in these Articles.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w:t>
      </w:r>
    </w:p>
    <w:p>
      <w:pPr>
        <w:spacing w:after="0" w:line="229" w:lineRule="exact"/>
        <w:rPr>
          <w:sz w:val="20"/>
          <w:szCs w:val="20"/>
          <w:color w:val="auto"/>
        </w:rPr>
      </w:pPr>
    </w:p>
    <w:p>
      <w:pPr>
        <w:ind w:left="5560" w:right="5400" w:hanging="5552"/>
        <w:spacing w:after="0" w:line="90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business of the Company may be conducted as the Directors see fit.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0" w:name="page11"/>
    <w:bookmarkEnd w:id="10"/>
    <w:p>
      <w:pPr>
        <w:ind w:left="652" w:right="240" w:hanging="652"/>
        <w:spacing w:after="0" w:line="263"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83" w:lineRule="exact"/>
        <w:rPr>
          <w:rFonts w:ascii="Arial" w:cs="Arial" w:eastAsia="Arial" w:hAnsi="Arial"/>
          <w:sz w:val="18"/>
          <w:szCs w:val="18"/>
          <w:color w:val="auto"/>
        </w:rPr>
      </w:pPr>
    </w:p>
    <w:p>
      <w:pPr>
        <w:ind w:left="652" w:right="60" w:hanging="652"/>
        <w:spacing w:after="0" w:line="263"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83"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652" w:right="180" w:hanging="652"/>
        <w:spacing w:after="0" w:line="277"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70" w:lineRule="exact"/>
        <w:rPr>
          <w:rFonts w:ascii="Arial" w:cs="Arial" w:eastAsia="Arial" w:hAnsi="Arial"/>
          <w:sz w:val="18"/>
          <w:szCs w:val="18"/>
          <w:color w:val="auto"/>
        </w:rPr>
      </w:pPr>
    </w:p>
    <w:p>
      <w:pPr>
        <w:ind w:left="1292" w:right="40" w:hanging="644"/>
        <w:spacing w:after="0" w:line="263"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83" w:lineRule="exact"/>
        <w:rPr>
          <w:rFonts w:ascii="Arial" w:cs="Arial" w:eastAsia="Arial" w:hAnsi="Arial"/>
          <w:sz w:val="18"/>
          <w:szCs w:val="18"/>
          <w:color w:val="auto"/>
        </w:rPr>
      </w:pPr>
    </w:p>
    <w:p>
      <w:pPr>
        <w:ind w:left="1292" w:right="60" w:hanging="644"/>
        <w:spacing w:after="0" w:line="25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7" w:lineRule="exact"/>
        <w:rPr>
          <w:rFonts w:ascii="Arial" w:cs="Arial" w:eastAsia="Arial" w:hAnsi="Arial"/>
          <w:sz w:val="18"/>
          <w:szCs w:val="18"/>
          <w:color w:val="auto"/>
        </w:rPr>
      </w:pPr>
    </w:p>
    <w:p>
      <w:pPr>
        <w:ind w:left="1292" w:hanging="644"/>
        <w:spacing w:after="0"/>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grant options with respect to Shares and issue warrants or similar instruments with respect thereto.</w:t>
      </w:r>
    </w:p>
    <w:p>
      <w:pPr>
        <w:spacing w:after="0" w:line="225" w:lineRule="exact"/>
        <w:rPr>
          <w:rFonts w:ascii="Arial" w:cs="Arial" w:eastAsia="Arial" w:hAnsi="Arial"/>
          <w:sz w:val="18"/>
          <w:szCs w:val="18"/>
          <w:color w:val="auto"/>
        </w:rPr>
      </w:pPr>
    </w:p>
    <w:p>
      <w:pPr>
        <w:ind w:left="652" w:hanging="652"/>
        <w:spacing w:after="0" w:line="270"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0"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designation of such series, the number of preferred shares to constitute such series and the subscription price thereof if different from the par value thereof;</w:t>
      </w:r>
    </w:p>
    <w:p>
      <w:pPr>
        <w:spacing w:after="0" w:line="170"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have voting rights, in addition to any voting rights provided by law, and, if so, the terms of such voting rights, which may be general or limited;</w:t>
      </w:r>
    </w:p>
    <w:p>
      <w:pPr>
        <w:spacing w:after="0" w:line="170" w:lineRule="exact"/>
        <w:rPr>
          <w:rFonts w:ascii="Arial" w:cs="Arial" w:eastAsia="Arial" w:hAnsi="Arial"/>
          <w:sz w:val="18"/>
          <w:szCs w:val="18"/>
          <w:color w:val="auto"/>
        </w:rPr>
      </w:pPr>
    </w:p>
    <w:p>
      <w:pPr>
        <w:ind w:left="1292" w:right="20" w:hanging="644"/>
        <w:spacing w:after="0" w:line="263"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40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11" w:name="page12"/>
    <w:bookmarkEnd w:id="11"/>
    <w:p>
      <w:pPr>
        <w:ind w:left="1300" w:right="7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subject to redemption by the Company, and, if so, the times, prices and other conditions of such redemption;</w:t>
      </w:r>
    </w:p>
    <w:p>
      <w:pPr>
        <w:spacing w:after="0" w:line="170" w:lineRule="exact"/>
        <w:rPr>
          <w:rFonts w:ascii="Arial" w:cs="Arial" w:eastAsia="Arial" w:hAnsi="Arial"/>
          <w:sz w:val="18"/>
          <w:szCs w:val="18"/>
          <w:color w:val="auto"/>
        </w:rPr>
      </w:pPr>
    </w:p>
    <w:p>
      <w:pPr>
        <w:ind w:left="1300" w:right="300" w:hanging="644"/>
        <w:spacing w:after="0" w:line="31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48" w:lineRule="exact"/>
        <w:rPr>
          <w:rFonts w:ascii="Arial" w:cs="Arial" w:eastAsia="Arial" w:hAnsi="Arial"/>
          <w:sz w:val="16"/>
          <w:szCs w:val="16"/>
          <w:color w:val="auto"/>
        </w:rPr>
      </w:pPr>
    </w:p>
    <w:p>
      <w:pPr>
        <w:ind w:left="1300" w:right="60" w:hanging="644"/>
        <w:spacing w:after="0" w:line="28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65" w:lineRule="exact"/>
        <w:rPr>
          <w:rFonts w:ascii="Arial" w:cs="Arial" w:eastAsia="Arial" w:hAnsi="Arial"/>
          <w:sz w:val="17"/>
          <w:szCs w:val="17"/>
          <w:color w:val="auto"/>
        </w:rPr>
      </w:pPr>
    </w:p>
    <w:p>
      <w:pPr>
        <w:ind w:left="1300" w:right="6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83"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83" w:lineRule="exact"/>
        <w:rPr>
          <w:rFonts w:ascii="Arial" w:cs="Arial" w:eastAsia="Arial" w:hAnsi="Arial"/>
          <w:sz w:val="18"/>
          <w:szCs w:val="18"/>
          <w:color w:val="auto"/>
        </w:rPr>
      </w:pPr>
    </w:p>
    <w:p>
      <w:pPr>
        <w:ind w:left="1300" w:right="600" w:hanging="644"/>
        <w:spacing w:after="0" w:line="34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23" w:lineRule="exact"/>
        <w:rPr>
          <w:rFonts w:ascii="Arial" w:cs="Arial" w:eastAsia="Arial" w:hAnsi="Arial"/>
          <w:sz w:val="16"/>
          <w:szCs w:val="16"/>
          <w:color w:val="auto"/>
        </w:rPr>
      </w:pPr>
    </w:p>
    <w:p>
      <w:pPr>
        <w:ind w:left="1300" w:right="6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 and any qualifications, limitations and restrictions thereof;</w:t>
      </w:r>
    </w:p>
    <w:p>
      <w:pPr>
        <w:spacing w:after="0" w:line="170"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and, for such purposes, the Directors may reserve an appropriate number of Shares for the time being unissued. The Company shall not issue Shares to bearer.</w:t>
      </w:r>
    </w:p>
    <w:p>
      <w:pPr>
        <w:spacing w:after="0" w:line="170" w:lineRule="exact"/>
        <w:rPr>
          <w:sz w:val="20"/>
          <w:szCs w:val="20"/>
          <w:color w:val="auto"/>
        </w:rPr>
      </w:pPr>
    </w:p>
    <w:p>
      <w:pPr>
        <w:ind w:left="660" w:right="8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Directors may refuse to accept any application for Shares, and may accept any application in whole or in part, for any reason or for no reason.</w:t>
      </w:r>
    </w:p>
    <w:p>
      <w:pPr>
        <w:spacing w:after="0" w:line="244" w:lineRule="exact"/>
        <w:rPr>
          <w:rFonts w:ascii="Arial" w:cs="Arial" w:eastAsia="Arial" w:hAnsi="Arial"/>
          <w:sz w:val="16"/>
          <w:szCs w:val="16"/>
          <w:color w:val="auto"/>
        </w:rPr>
      </w:pPr>
    </w:p>
    <w:p>
      <w:pPr>
        <w:ind w:left="2840"/>
        <w:spacing w:after="0"/>
        <w:rPr>
          <w:rFonts w:ascii="Arial" w:cs="Arial" w:eastAsia="Arial" w:hAnsi="Arial"/>
          <w:sz w:val="16"/>
          <w:szCs w:val="16"/>
          <w:color w:val="auto"/>
        </w:rPr>
      </w:pPr>
      <w:r>
        <w:rPr>
          <w:rFonts w:ascii="Arial" w:cs="Arial" w:eastAsia="Arial" w:hAnsi="Arial"/>
          <w:sz w:val="18"/>
          <w:szCs w:val="18"/>
          <w:b w:val="1"/>
          <w:bCs w:val="1"/>
          <w:color w:val="auto"/>
        </w:rPr>
        <w:t>CLASS A ORDINARY SHARES AND CLASS B ORDINARY SHARES</w:t>
      </w:r>
    </w:p>
    <w:p>
      <w:pPr>
        <w:spacing w:after="0" w:line="229" w:lineRule="exact"/>
        <w:rPr>
          <w:rFonts w:ascii="Arial" w:cs="Arial" w:eastAsia="Arial" w:hAnsi="Arial"/>
          <w:sz w:val="16"/>
          <w:szCs w:val="16"/>
          <w:color w:val="auto"/>
        </w:rPr>
      </w:pPr>
    </w:p>
    <w:p>
      <w:pPr>
        <w:ind w:left="660" w:right="6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ten (10) votes on all matters subject to vote at general meetings of the Company.</w:t>
      </w:r>
    </w:p>
    <w:p>
      <w:pPr>
        <w:spacing w:after="0" w:line="186" w:lineRule="exact"/>
        <w:rPr>
          <w:rFonts w:ascii="Arial" w:cs="Arial" w:eastAsia="Arial" w:hAnsi="Arial"/>
          <w:sz w:val="18"/>
          <w:szCs w:val="18"/>
          <w:color w:val="auto"/>
        </w:rPr>
      </w:pPr>
    </w:p>
    <w:p>
      <w:pPr>
        <w:ind w:left="660" w:right="30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86" w:lineRule="exact"/>
        <w:rPr>
          <w:rFonts w:ascii="Arial" w:cs="Arial" w:eastAsia="Arial" w:hAnsi="Arial"/>
          <w:sz w:val="18"/>
          <w:szCs w:val="18"/>
          <w:color w:val="auto"/>
        </w:rPr>
      </w:pPr>
    </w:p>
    <w:p>
      <w:pPr>
        <w:ind w:left="660" w:right="160" w:hanging="652"/>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conversion of Class B Ordinary Shares into Class A Ordinary Shares pursuant to these Articles shall be effected by means of the re-designation of each relevant Class B Ordinary Share as a Class A Ordinary Share. Such conversion shall become effective forthwith upon entries being made in the Register to record the re-designation of the relevant Class B Ordinary Shares as Class A Ordinary Shares.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right="60" w:hanging="652"/>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any sale, transfer, assignment or disposition of any Class B Ordinary Share by a Shareholder to any person who is not a Founder or Founder Affiliate, or upon a change of ultimate beneficial ownership of any Class B Ordinary Share to any Person who is not a Founder or Founder Affiliate, such Class B Ordinary Share shall be automatically and immediately converted into one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purpose of this Article 15, beneficial ownership shall have the meaning set forth in Rule 13d-3 under the United States Securities Exchange Act of 1934, as amended. If at any time the Founder and the Founder Affiliates collectively own less than 5% of the total number of the issued and outstanding Class B Ordinary Shares of the Company, all of the issued and outstanding Class B Ordinary Shares shall be automatically converted into the same number of Class A Ordinary Shares.</w:t>
      </w:r>
    </w:p>
    <w:p>
      <w:pPr>
        <w:spacing w:after="0" w:line="167" w:lineRule="exact"/>
        <w:rPr>
          <w:rFonts w:ascii="Arial" w:cs="Arial" w:eastAsia="Arial" w:hAnsi="Arial"/>
          <w:sz w:val="16"/>
          <w:szCs w:val="16"/>
          <w:color w:val="auto"/>
        </w:rPr>
      </w:pPr>
    </w:p>
    <w:p>
      <w:pPr>
        <w:ind w:left="660" w:right="34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Save and except for voting rights and conversion rights as set out in Articles 12 to 15 (inclusive), the Class A Ordinary Shares and the Class B Ordinary Shares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one another and shall have the same rights, preferences, privileges and restrictions.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MODIFICATION OF RIGHTS</w:t>
      </w:r>
    </w:p>
    <w:p>
      <w:pPr>
        <w:spacing w:after="0" w:line="229" w:lineRule="exact"/>
        <w:rPr>
          <w:sz w:val="20"/>
          <w:szCs w:val="20"/>
          <w:color w:val="auto"/>
        </w:rPr>
      </w:pPr>
    </w:p>
    <w:p>
      <w:pPr>
        <w:ind w:left="660" w:right="80" w:hanging="652"/>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two-thirds of the issued Shares of that Class or with the sanction of a resolution passed at a separate meeting of the holders of the Shares of that Class by the holders of two-thirds of the issued Shares of that Class. To every such separate meeting all the provisions of these Articles relating to general meetings of the Company or to the proceedings thereat shall, </w:t>
      </w:r>
      <w:r>
        <w:rPr>
          <w:rFonts w:ascii="Arial" w:cs="Arial" w:eastAsia="Arial" w:hAnsi="Arial"/>
          <w:sz w:val="17"/>
          <w:szCs w:val="17"/>
          <w:i w:val="1"/>
          <w:iCs w:val="1"/>
          <w:color w:val="auto"/>
        </w:rPr>
        <w:t>mutatis mutandis</w:t>
      </w:r>
      <w:r>
        <w:rPr>
          <w:rFonts w:ascii="Arial" w:cs="Arial" w:eastAsia="Arial" w:hAnsi="Arial"/>
          <w:sz w:val="17"/>
          <w:szCs w:val="17"/>
          <w:color w:val="auto"/>
        </w:rPr>
        <w:t>, apply, except that the necessary quorum shall be one or more Persons holding or representing by proxy at least a majority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that Class shall on a poll have one vote for each Share of that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181" w:lineRule="exact"/>
        <w:rPr>
          <w:rFonts w:ascii="Arial" w:cs="Arial" w:eastAsia="Arial" w:hAnsi="Arial"/>
          <w:sz w:val="17"/>
          <w:szCs w:val="17"/>
          <w:color w:val="auto"/>
        </w:rPr>
      </w:pPr>
    </w:p>
    <w:p>
      <w:pPr>
        <w:ind w:left="660" w:hanging="652"/>
        <w:spacing w:after="0" w:line="27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creation, allotment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CERTIFICATES</w:t>
      </w:r>
    </w:p>
    <w:p>
      <w:pPr>
        <w:spacing w:after="0" w:line="229" w:lineRule="exact"/>
        <w:rPr>
          <w:sz w:val="20"/>
          <w:szCs w:val="20"/>
          <w:color w:val="auto"/>
        </w:rPr>
      </w:pPr>
    </w:p>
    <w:p>
      <w:pPr>
        <w:ind w:left="660" w:right="20" w:hanging="652"/>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225" w:lineRule="exact"/>
        <w:rPr>
          <w:rFonts w:ascii="Arial" w:cs="Arial" w:eastAsia="Arial" w:hAnsi="Arial"/>
          <w:sz w:val="18"/>
          <w:szCs w:val="18"/>
          <w:color w:val="auto"/>
        </w:rPr>
      </w:pPr>
    </w:p>
    <w:p>
      <w:pPr>
        <w:jc w:val="both"/>
        <w:ind w:left="660" w:right="30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83" w:lineRule="exact"/>
        <w:rPr>
          <w:rFonts w:ascii="Arial" w:cs="Arial" w:eastAsia="Arial" w:hAnsi="Arial"/>
          <w:sz w:val="18"/>
          <w:szCs w:val="18"/>
          <w:color w:val="auto"/>
        </w:rPr>
      </w:pPr>
    </w:p>
    <w:p>
      <w:pPr>
        <w:ind w:left="660" w:right="14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86"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ind w:left="660" w:right="100" w:hanging="652"/>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LIEN</w:t>
      </w:r>
    </w:p>
    <w:p>
      <w:pPr>
        <w:spacing w:after="0" w:line="229" w:lineRule="exact"/>
        <w:rPr>
          <w:sz w:val="20"/>
          <w:szCs w:val="20"/>
          <w:color w:val="auto"/>
        </w:rPr>
      </w:pPr>
    </w:p>
    <w:p>
      <w:pPr>
        <w:ind w:left="660" w:right="20" w:hanging="65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92" w:lineRule="exact"/>
        <w:rPr>
          <w:rFonts w:ascii="Arial" w:cs="Arial" w:eastAsia="Arial" w:hAnsi="Arial"/>
          <w:sz w:val="18"/>
          <w:szCs w:val="18"/>
          <w:color w:val="auto"/>
        </w:rPr>
      </w:pPr>
    </w:p>
    <w:p>
      <w:pPr>
        <w:ind w:left="660" w:right="20" w:hanging="652"/>
        <w:spacing w:after="0" w:line="30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57" w:lineRule="exact"/>
        <w:rPr>
          <w:rFonts w:ascii="Arial" w:cs="Arial" w:eastAsia="Arial" w:hAnsi="Arial"/>
          <w:sz w:val="16"/>
          <w:szCs w:val="16"/>
          <w:color w:val="auto"/>
        </w:rPr>
      </w:pPr>
    </w:p>
    <w:p>
      <w:pPr>
        <w:ind w:left="660" w:right="20" w:hanging="652"/>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65"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ind w:left="660" w:right="20" w:hanging="652"/>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225"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83" w:lineRule="exact"/>
        <w:rPr>
          <w:rFonts w:ascii="Arial" w:cs="Arial" w:eastAsia="Arial" w:hAnsi="Arial"/>
          <w:sz w:val="18"/>
          <w:szCs w:val="18"/>
          <w:color w:val="auto"/>
        </w:rPr>
      </w:pPr>
    </w:p>
    <w:p>
      <w:pPr>
        <w:ind w:left="660" w:right="10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83"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70"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OF SHARES</w:t>
      </w:r>
    </w:p>
    <w:p>
      <w:pPr>
        <w:spacing w:after="0" w:line="229" w:lineRule="exact"/>
        <w:rPr>
          <w:sz w:val="20"/>
          <w:szCs w:val="20"/>
          <w:color w:val="auto"/>
        </w:rPr>
      </w:pPr>
    </w:p>
    <w:p>
      <w:pPr>
        <w:ind w:left="660" w:right="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83" w:lineRule="exact"/>
        <w:rPr>
          <w:rFonts w:ascii="Arial" w:cs="Arial" w:eastAsia="Arial" w:hAnsi="Arial"/>
          <w:sz w:val="18"/>
          <w:szCs w:val="18"/>
          <w:color w:val="auto"/>
        </w:rPr>
      </w:pPr>
    </w:p>
    <w:p>
      <w:pPr>
        <w:ind w:left="660" w:right="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8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46" w:lineRule="exact"/>
        <w:rPr>
          <w:rFonts w:ascii="Arial" w:cs="Arial" w:eastAsia="Arial" w:hAnsi="Arial"/>
          <w:sz w:val="17"/>
          <w:szCs w:val="17"/>
          <w:color w:val="auto"/>
        </w:rPr>
      </w:pPr>
    </w:p>
    <w:p>
      <w:pPr>
        <w:ind w:left="660" w:right="18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70" w:lineRule="exact"/>
        <w:rPr>
          <w:rFonts w:ascii="Arial" w:cs="Arial" w:eastAsia="Arial" w:hAnsi="Arial"/>
          <w:sz w:val="18"/>
          <w:szCs w:val="18"/>
          <w:color w:val="auto"/>
        </w:rPr>
      </w:pPr>
    </w:p>
    <w:p>
      <w:pPr>
        <w:ind w:left="660" w:right="40" w:hanging="652"/>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65" w:lineRule="exact"/>
        <w:rPr>
          <w:rFonts w:ascii="Arial" w:cs="Arial" w:eastAsia="Arial" w:hAnsi="Arial"/>
          <w:sz w:val="17"/>
          <w:szCs w:val="17"/>
          <w:color w:val="auto"/>
        </w:rPr>
      </w:pPr>
    </w:p>
    <w:p>
      <w:pPr>
        <w:ind w:left="660" w:right="48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70" w:lineRule="exact"/>
        <w:rPr>
          <w:rFonts w:ascii="Arial" w:cs="Arial" w:eastAsia="Arial" w:hAnsi="Arial"/>
          <w:sz w:val="18"/>
          <w:szCs w:val="18"/>
          <w:color w:val="auto"/>
        </w:rPr>
      </w:pPr>
    </w:p>
    <w:p>
      <w:pPr>
        <w:ind w:left="660" w:right="60" w:hanging="652"/>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right="4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660" w:hanging="652"/>
        <w:spacing w:after="0" w:line="29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61" w:lineRule="exact"/>
        <w:rPr>
          <w:rFonts w:ascii="Arial" w:cs="Arial" w:eastAsia="Arial" w:hAnsi="Arial"/>
          <w:sz w:val="16"/>
          <w:szCs w:val="16"/>
          <w:color w:val="auto"/>
        </w:rPr>
      </w:pPr>
    </w:p>
    <w:p>
      <w:pPr>
        <w:ind w:left="1300" w:hanging="129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(a)The Directors may in their absolute discretion decline to register any transfer of Shares which is not fully paid up or on which the Company has a lien.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Directors may also decline to register any transfer of any Share unless:</w:t>
      </w:r>
    </w:p>
    <w:p>
      <w:pPr>
        <w:spacing w:after="0" w:line="225" w:lineRule="exact"/>
        <w:rPr>
          <w:rFonts w:ascii="Arial" w:cs="Arial" w:eastAsia="Arial" w:hAnsi="Arial"/>
          <w:sz w:val="18"/>
          <w:szCs w:val="18"/>
          <w:color w:val="auto"/>
        </w:rPr>
      </w:pPr>
    </w:p>
    <w:p>
      <w:pPr>
        <w:ind w:left="1960" w:right="60" w:hanging="656"/>
        <w:spacing w:after="0" w:line="308" w:lineRule="auto"/>
        <w:tabs>
          <w:tab w:leader="none" w:pos="19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does not exceed four;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70" w:lineRule="exact"/>
        <w:rPr>
          <w:rFonts w:ascii="Arial" w:cs="Arial" w:eastAsia="Arial" w:hAnsi="Arial"/>
          <w:sz w:val="18"/>
          <w:szCs w:val="18"/>
          <w:color w:val="auto"/>
        </w:rPr>
      </w:pPr>
    </w:p>
    <w:p>
      <w:pPr>
        <w:jc w:val="both"/>
        <w:ind w:left="660" w:right="100" w:hanging="652"/>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71" w:lineRule="exact"/>
        <w:rPr>
          <w:rFonts w:ascii="Arial" w:cs="Arial" w:eastAsia="Arial" w:hAnsi="Arial"/>
          <w:sz w:val="17"/>
          <w:szCs w:val="17"/>
          <w:color w:val="auto"/>
        </w:rPr>
      </w:pPr>
    </w:p>
    <w:p>
      <w:pPr>
        <w:ind w:left="660" w:right="3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right="200" w:hanging="652"/>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65" w:lineRule="exact"/>
        <w:rPr>
          <w:rFonts w:ascii="Arial" w:cs="Arial" w:eastAsia="Arial" w:hAnsi="Arial"/>
          <w:sz w:val="17"/>
          <w:szCs w:val="17"/>
          <w:color w:val="auto"/>
        </w:rPr>
      </w:pPr>
    </w:p>
    <w:p>
      <w:pPr>
        <w:ind w:left="660" w:right="60" w:hanging="652"/>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right="40" w:hanging="652"/>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29" w:lineRule="exact"/>
        <w:rPr>
          <w:sz w:val="20"/>
          <w:szCs w:val="20"/>
          <w:color w:val="auto"/>
        </w:rPr>
      </w:pPr>
    </w:p>
    <w:p>
      <w:pPr>
        <w:ind w:left="660" w:right="9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 OF SHARE CAPITAL</w:t>
      </w:r>
    </w:p>
    <w:p>
      <w:pPr>
        <w:spacing w:after="0" w:line="229" w:lineRule="exact"/>
        <w:rPr>
          <w:sz w:val="20"/>
          <w:szCs w:val="20"/>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increase the share capital by such sum, to be divided into Shares of such Classes and amount, as the resolution shall prescribe.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increase its share capital by new Shares of such amount as it thinks expedient;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225" w:lineRule="exact"/>
        <w:rPr>
          <w:rFonts w:ascii="Arial" w:cs="Arial" w:eastAsia="Arial" w:hAnsi="Arial"/>
          <w:sz w:val="18"/>
          <w:szCs w:val="18"/>
          <w:color w:val="auto"/>
        </w:rPr>
      </w:pPr>
    </w:p>
    <w:p>
      <w:pPr>
        <w:ind w:left="1300" w:right="1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83" w:lineRule="exact"/>
        <w:rPr>
          <w:rFonts w:ascii="Arial" w:cs="Arial" w:eastAsia="Arial" w:hAnsi="Arial"/>
          <w:sz w:val="18"/>
          <w:szCs w:val="18"/>
          <w:color w:val="auto"/>
        </w:rPr>
      </w:pPr>
    </w:p>
    <w:p>
      <w:pPr>
        <w:ind w:left="1300" w:right="1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authorised by the Companies 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these Articles, the Company may:</w:t>
      </w:r>
    </w:p>
    <w:p>
      <w:pPr>
        <w:spacing w:after="0" w:line="225" w:lineRule="exact"/>
        <w:rPr>
          <w:rFonts w:ascii="Arial" w:cs="Arial" w:eastAsia="Arial" w:hAnsi="Arial"/>
          <w:sz w:val="18"/>
          <w:szCs w:val="18"/>
          <w:color w:val="auto"/>
        </w:rPr>
      </w:pPr>
    </w:p>
    <w:p>
      <w:pPr>
        <w:ind w:left="1300" w:right="14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83" w:lineRule="exact"/>
        <w:rPr>
          <w:rFonts w:ascii="Arial" w:cs="Arial" w:eastAsia="Arial" w:hAnsi="Arial"/>
          <w:sz w:val="18"/>
          <w:szCs w:val="18"/>
          <w:color w:val="auto"/>
        </w:rPr>
      </w:pPr>
    </w:p>
    <w:p>
      <w:pPr>
        <w:ind w:left="1300" w:right="2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and terms as have been approved by the Board or by the Members by Ordinary Resolution, or are otherwise authorised by these Articles;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permitted by the Companies Act, including out of capital.</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70" w:lineRule="exact"/>
        <w:rPr>
          <w:rFonts w:ascii="Arial" w:cs="Arial" w:eastAsia="Arial" w:hAnsi="Arial"/>
          <w:sz w:val="18"/>
          <w:szCs w:val="18"/>
          <w:color w:val="auto"/>
        </w:rPr>
      </w:pPr>
    </w:p>
    <w:p>
      <w:pPr>
        <w:ind w:left="660" w:right="4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Directors may accept the surrender for no consideration of any fully paid Share.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48" w:lineRule="exact"/>
        <w:rPr>
          <w:rFonts w:ascii="Arial" w:cs="Arial" w:eastAsia="Arial" w:hAnsi="Arial"/>
          <w:sz w:val="16"/>
          <w:szCs w:val="16"/>
          <w:color w:val="auto"/>
        </w:rPr>
      </w:pPr>
    </w:p>
    <w:p>
      <w:pPr>
        <w:ind w:left="660" w:right="48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25" w:lineRule="exact"/>
        <w:rPr>
          <w:rFonts w:ascii="Arial" w:cs="Arial" w:eastAsia="Arial" w:hAnsi="Arial"/>
          <w:sz w:val="18"/>
          <w:szCs w:val="18"/>
          <w:color w:val="auto"/>
        </w:rPr>
      </w:pPr>
    </w:p>
    <w:p>
      <w:pPr>
        <w:ind w:left="1300" w:right="400" w:hanging="1292"/>
        <w:spacing w:after="0" w:line="263"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225" w:lineRule="exact"/>
        <w:rPr>
          <w:rFonts w:ascii="Arial" w:cs="Arial" w:eastAsia="Arial" w:hAnsi="Arial"/>
          <w:sz w:val="18"/>
          <w:szCs w:val="18"/>
          <w:color w:val="auto"/>
        </w:rPr>
      </w:pPr>
    </w:p>
    <w:p>
      <w:pPr>
        <w:ind w:left="1300" w:hanging="1292"/>
        <w:spacing w:after="0" w:line="277"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(a)The Chairman or a majority of the Directors may call general meetings, and they shall on a Shareholders' requisition forthwith proceed to convene an extraordinary general meeting of the Company.</w:t>
      </w:r>
    </w:p>
    <w:p>
      <w:pPr>
        <w:spacing w:after="0" w:line="170" w:lineRule="exact"/>
        <w:rPr>
          <w:rFonts w:ascii="Arial" w:cs="Arial" w:eastAsia="Arial" w:hAnsi="Arial"/>
          <w:sz w:val="18"/>
          <w:szCs w:val="18"/>
          <w:color w:val="auto"/>
        </w:rPr>
      </w:pPr>
    </w:p>
    <w:p>
      <w:pPr>
        <w:jc w:val="both"/>
        <w:ind w:left="1300" w:right="16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70" w:lineRule="exact"/>
        <w:rPr>
          <w:rFonts w:ascii="Arial" w:cs="Arial" w:eastAsia="Arial" w:hAnsi="Arial"/>
          <w:sz w:val="18"/>
          <w:szCs w:val="18"/>
          <w:color w:val="auto"/>
        </w:rPr>
      </w:pPr>
    </w:p>
    <w:p>
      <w:pPr>
        <w:ind w:left="1300" w:right="100" w:hanging="644"/>
        <w:spacing w:after="0" w:line="279"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the Directors do not within twenty-one calendar days from the date of the deposit of the requisition duly proceed to convene a general meeting to be held within a further twenty-one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calendar days.</w:t>
      </w:r>
    </w:p>
    <w:p>
      <w:pPr>
        <w:spacing w:after="0" w:line="171" w:lineRule="exact"/>
        <w:rPr>
          <w:rFonts w:ascii="Arial" w:cs="Arial" w:eastAsia="Arial" w:hAnsi="Arial"/>
          <w:sz w:val="17"/>
          <w:szCs w:val="17"/>
          <w:color w:val="auto"/>
        </w:rPr>
      </w:pPr>
    </w:p>
    <w:p>
      <w:pPr>
        <w:ind w:left="1300" w:right="18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ind w:left="660" w:right="200" w:hanging="652"/>
        <w:spacing w:after="0" w:line="29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 least ten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Shareholders (or their proxies) entitled to attend and vote thereat; and</w:t>
      </w:r>
    </w:p>
    <w:p>
      <w:pPr>
        <w:spacing w:after="0" w:line="225"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two-thirds (2/3rd ) of the Shareholders having a right to attend and vote at the meeting, present in person or by proxy or, in the case of a corporation or other non-natural person, by its duly authorised representative or proxy.</w:t>
      </w:r>
    </w:p>
    <w:p>
      <w:pPr>
        <w:spacing w:after="0" w:line="183"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right="100" w:hanging="652"/>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a majority of all votes attaching to all Shares in issue and entitled to vote at such general meeting, present in person or by proxy or, if a corporation or other non-natural person, by its duly authorised representative, shall be a quorum for all purposes.</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shall be dissolved.</w:t>
      </w:r>
    </w:p>
    <w:p>
      <w:pPr>
        <w:spacing w:after="0" w:line="225" w:lineRule="exact"/>
        <w:rPr>
          <w:rFonts w:ascii="Arial" w:cs="Arial" w:eastAsia="Arial" w:hAnsi="Arial"/>
          <w:sz w:val="18"/>
          <w:szCs w:val="18"/>
          <w:color w:val="auto"/>
        </w:rPr>
      </w:pPr>
    </w:p>
    <w:p>
      <w:pPr>
        <w:ind w:left="660" w:right="120" w:hanging="652"/>
        <w:spacing w:after="0" w:line="31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participation shall be deemed to constitute presence in person at the meeting.</w:t>
      </w:r>
    </w:p>
    <w:p>
      <w:pPr>
        <w:spacing w:after="0" w:line="148"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Chairman, if any, of the Board of Directors shall preside as chairman at every general meeting of the Company.</w:t>
      </w:r>
    </w:p>
    <w:p>
      <w:pPr>
        <w:spacing w:after="0" w:line="225"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there is no such Chairman of the Board of Directors, or if at any general meeting he is not present within fifteen minutes after the time appointed for holding the meeting or is unwilling to act as chairman of the meeting, any Director or Person nominated by the Directors shall preside as chairman of that meeting, failing which the Shareholders present in person or by proxy shall choose any Person present to be chairman of that meeting.</w:t>
      </w:r>
    </w:p>
    <w:p>
      <w:pPr>
        <w:spacing w:after="0" w:line="186"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76" w:lineRule="exact"/>
        <w:rPr>
          <w:rFonts w:ascii="Arial" w:cs="Arial" w:eastAsia="Arial" w:hAnsi="Arial"/>
          <w:sz w:val="17"/>
          <w:szCs w:val="17"/>
          <w:color w:val="auto"/>
        </w:rPr>
      </w:pPr>
    </w:p>
    <w:p>
      <w:pPr>
        <w:ind w:left="660" w:right="36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83" w:lineRule="exact"/>
        <w:rPr>
          <w:rFonts w:ascii="Arial" w:cs="Arial" w:eastAsia="Arial" w:hAnsi="Arial"/>
          <w:sz w:val="18"/>
          <w:szCs w:val="18"/>
          <w:color w:val="auto"/>
        </w:rPr>
      </w:pPr>
    </w:p>
    <w:p>
      <w:pPr>
        <w:ind w:left="660" w:right="300" w:hanging="652"/>
        <w:spacing w:after="0" w:line="29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any general meeting a resolution put to the vote of the meeting shall be decided on a show of hands, unless a poll is (before or on the declaration of the result of the show of hands) demanded by the chairman of the meeting or any Shareholder present in person or by proxy,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right="14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70"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83"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VOTES OF SHAREHOLDERS</w:t>
      </w:r>
    </w:p>
    <w:p>
      <w:pPr>
        <w:spacing w:after="0" w:line="229" w:lineRule="exact"/>
        <w:rPr>
          <w:sz w:val="20"/>
          <w:szCs w:val="20"/>
          <w:color w:val="auto"/>
        </w:rPr>
      </w:pPr>
    </w:p>
    <w:p>
      <w:pPr>
        <w:ind w:left="660" w:right="40" w:hanging="652"/>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 on a show of hands every Shareholder present in person or by proxy (or, if a corporation or other non-natural person, by its duly authorised representative or proxy) shall, at a general meeting of the Company, each have one vote and on a poll every Shareholder present in person or by proxy (or, if a corporation or other non-natural person, by its duly authorised representative or proxy) shall have one (1) vote for each Class A Ordinary Share and ten (10) votes for each Class B Ordinary Share of which he is the holder.</w:t>
      </w:r>
    </w:p>
    <w:p>
      <w:pPr>
        <w:spacing w:after="0" w:line="187"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83" w:lineRule="exact"/>
        <w:rPr>
          <w:rFonts w:ascii="Arial" w:cs="Arial" w:eastAsia="Arial" w:hAnsi="Arial"/>
          <w:sz w:val="18"/>
          <w:szCs w:val="18"/>
          <w:color w:val="auto"/>
        </w:rPr>
      </w:pPr>
    </w:p>
    <w:p>
      <w:pPr>
        <w:ind w:left="660" w:right="460" w:hanging="652"/>
        <w:spacing w:after="0" w:line="31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ind w:left="660" w:right="180" w:hanging="652"/>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Shareholder, other than a recognised clearing house (or its nominee(s)) or depositary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225"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70" w:lineRule="exact"/>
        <w:rPr>
          <w:rFonts w:ascii="Arial" w:cs="Arial" w:eastAsia="Arial" w:hAnsi="Arial"/>
          <w:sz w:val="18"/>
          <w:szCs w:val="18"/>
          <w:color w:val="auto"/>
        </w:rPr>
      </w:pPr>
    </w:p>
    <w:p>
      <w:pPr>
        <w:ind w:left="1300" w:right="68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less than 48 hours before the time for holding the meeting or adjourned meeting at which the person named in the instrument proposes to vote; or</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where the poll is not taken forthwith but is taken not more than 48 hours after it was demanded be delivered at the meeting at which the poll was demanded to the chairman or to the secretary or to any director;</w:t>
      </w:r>
    </w:p>
    <w:p>
      <w:pPr>
        <w:spacing w:after="0" w:line="170"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25" w:lineRule="exact"/>
        <w:rPr>
          <w:rFonts w:ascii="Arial" w:cs="Arial" w:eastAsia="Arial" w:hAnsi="Arial"/>
          <w:sz w:val="18"/>
          <w:szCs w:val="18"/>
          <w:color w:val="auto"/>
        </w:rPr>
      </w:pPr>
    </w:p>
    <w:p>
      <w:pPr>
        <w:ind w:left="660" w:right="10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29" w:lineRule="exact"/>
        <w:rPr>
          <w:sz w:val="20"/>
          <w:szCs w:val="20"/>
          <w:color w:val="auto"/>
        </w:rPr>
      </w:pPr>
    </w:p>
    <w:p>
      <w:pPr>
        <w:ind w:left="660" w:right="80" w:hanging="652"/>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AND CLEARING HOUSES</w:t>
      </w:r>
    </w:p>
    <w:p>
      <w:pPr>
        <w:spacing w:after="0" w:line="229" w:lineRule="exact"/>
        <w:rPr>
          <w:sz w:val="20"/>
          <w:szCs w:val="20"/>
          <w:color w:val="auto"/>
        </w:rPr>
      </w:pPr>
    </w:p>
    <w:p>
      <w:pPr>
        <w:ind w:left="660" w:hanging="652"/>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1300" w:right="220" w:hanging="1292"/>
        <w:spacing w:after="0" w:line="308"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Unless otherwise determined by the Company in general meeting, the number of Directors shall not be less than three (3) but not more than nine (9) Directors, the exact number of Directors to be determined from time to time by the Board of Directors.</w:t>
      </w:r>
    </w:p>
    <w:p>
      <w:pPr>
        <w:spacing w:after="0" w:line="146" w:lineRule="exact"/>
        <w:rPr>
          <w:rFonts w:ascii="Arial" w:cs="Arial" w:eastAsia="Arial" w:hAnsi="Arial"/>
          <w:sz w:val="18"/>
          <w:szCs w:val="18"/>
          <w:color w:val="auto"/>
        </w:rPr>
      </w:pPr>
    </w:p>
    <w:p>
      <w:pPr>
        <w:ind w:left="1300" w:right="260" w:hanging="644"/>
        <w:spacing w:after="0" w:line="25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Board of Directors shall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w:t>
      </w:r>
    </w:p>
    <w:p>
      <w:pPr>
        <w:spacing w:after="0" w:line="225"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Except as otherwise provided for under this Article 88, the Board may, by the affirmative vote of a simple majority of the remaining Directors present and voting at a Board meeting, appoint any person as a Director, to fill a casual vacancy on the Board or as an addition to the existing Board.</w:t>
      </w:r>
    </w:p>
    <w:p>
      <w:pPr>
        <w:spacing w:after="0" w:line="183"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Subject to Designated Stock Exchange Rules applicable to the composition of the Board and qualifications of Directors, the Board shall include(i) two (2) Executive Directors, if there are no more than five (5) Directors in the Board of Directors, and (ii) three (3) Executive Directors, if there are more than five (5) but no more than nine (9) Directors in the Board of Directors, and such Executive Directors shall be nominated by the Partnership for so long as the Partnership Condition is satisfied. Upon the delivery by the Partnership of a written notice (duly executed by the general partner of the Partnership on behalf of the Partnership) to the Company, the Board shall cause the Executive Director candidate nominated by the Partnership to be appointed by the Board pursuant to Article 88(d).</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ind w:left="1300" w:right="78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a failure to satisfy the Partnership Condition, the right of the Partnership to nominate Executive Directors pursuant to Article 88(e) shall be suspended, and the Executive Directors shall be elected or appointed by the Members in accordance with Article 88(c) or by the Board in accordance with Article 88(d).</w:t>
      </w:r>
    </w:p>
    <w:p>
      <w:pPr>
        <w:spacing w:after="0" w:line="183" w:lineRule="exact"/>
        <w:rPr>
          <w:rFonts w:ascii="Arial" w:cs="Arial" w:eastAsia="Arial" w:hAnsi="Arial"/>
          <w:sz w:val="18"/>
          <w:szCs w:val="18"/>
          <w:color w:val="auto"/>
        </w:rPr>
      </w:pPr>
    </w:p>
    <w:p>
      <w:pPr>
        <w:ind w:left="1300" w:hanging="644"/>
        <w:spacing w:after="0" w:line="290"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For so long as the Partnership Condition is satisfied, notwithstanding anything in Article 88(c) or Article 88(d) to the contrary, if at any time the total number of Executive Directors on the Board nominated by the Partnership is less than two (2) or three (3), as applicable pursuant to Article 88(e), for any reason, including because any Executive Director previously nominated by the Partnership has ceased to be an Executive Director, the Partnership shall be entitled to (in its sole discretion) appoint such number of Executive Directors to the Board as may be necessary to ensure that the Board includes the number of Executive Directors as required pursuant to Article 88(e). The appointment of the Executive Directors to the Board pursuant to this Article 88(g) shall become effective immediately upon the delivery by the Partnership of a written notice (duly executed by the general partner of the Partnership on behalf of the Partnership) to the Company, without the requirement for any further resolution, vote or approval by the Shareholders or the Board.</w:t>
      </w:r>
    </w:p>
    <w:p>
      <w:pPr>
        <w:spacing w:after="0" w:line="165" w:lineRule="exact"/>
        <w:rPr>
          <w:rFonts w:ascii="Arial" w:cs="Arial" w:eastAsia="Arial" w:hAnsi="Arial"/>
          <w:sz w:val="16"/>
          <w:szCs w:val="16"/>
          <w:color w:val="auto"/>
        </w:rPr>
      </w:pPr>
    </w:p>
    <w:p>
      <w:pPr>
        <w:jc w:val="both"/>
        <w:ind w:left="1300" w:right="2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appointment of a Director may be on terms as agreed between the Company and the Director; but no such term shall be implied in the absence of express provision. Each Director whose term of office expires shall be eligible for re-election at a meeting of the Shareholders or re-appointment by the Board.</w:t>
      </w:r>
    </w:p>
    <w:p>
      <w:pPr>
        <w:spacing w:after="0" w:line="183" w:lineRule="exact"/>
        <w:rPr>
          <w:rFonts w:ascii="Arial" w:cs="Arial" w:eastAsia="Arial" w:hAnsi="Arial"/>
          <w:sz w:val="18"/>
          <w:szCs w:val="18"/>
          <w:color w:val="auto"/>
        </w:rPr>
      </w:pPr>
    </w:p>
    <w:p>
      <w:pPr>
        <w:ind w:left="660" w:hanging="652"/>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Director may be removed from office by Ordinary Resolution of the Company, notwithstanding anything in these Articles or in any agreement between the Company and such Director (but without prejudice to any claim for damages under such agreement). Except as otherwise provided for under Article 88, 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Partnership may not transfer or otherwise delegate or give a proxy to any third party with respect to its right to nominate and appoint Executive Directors.</w:t>
      </w:r>
    </w:p>
    <w:p>
      <w:pPr>
        <w:spacing w:after="0" w:line="170"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Subject to Article 89 and subsections (a) through (c) of Article 113, for so long as the Partnership Condition is satisfied, the Executive Directors nominated or appointed by the Partnership are subject to removal, with or without cause, only by the Partnership.</w:t>
      </w:r>
    </w:p>
    <w:p>
      <w:pPr>
        <w:spacing w:after="0" w:line="146" w:lineRule="exact"/>
        <w:rPr>
          <w:rFonts w:ascii="Arial" w:cs="Arial" w:eastAsia="Arial" w:hAnsi="Arial"/>
          <w:sz w:val="17"/>
          <w:szCs w:val="17"/>
          <w:color w:val="auto"/>
        </w:rPr>
      </w:pPr>
    </w:p>
    <w:p>
      <w:pPr>
        <w:ind w:left="660" w:right="4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83"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ind w:left="660" w:right="160" w:hanging="652"/>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DIRECTOR OR PROXY</w:t>
      </w:r>
    </w:p>
    <w:p>
      <w:pPr>
        <w:spacing w:after="0" w:line="229" w:lineRule="exact"/>
        <w:rPr>
          <w:sz w:val="20"/>
          <w:szCs w:val="20"/>
          <w:color w:val="auto"/>
        </w:rPr>
      </w:pPr>
    </w:p>
    <w:p>
      <w:pPr>
        <w:ind w:left="660" w:hanging="652"/>
        <w:spacing w:after="0" w:line="25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p>
      <w:pPr>
        <w:spacing w:after="0" w:line="196" w:lineRule="exact"/>
        <w:rPr>
          <w:rFonts w:ascii="Arial" w:cs="Arial" w:eastAsia="Arial" w:hAnsi="Arial"/>
          <w:sz w:val="18"/>
          <w:szCs w:val="18"/>
          <w:color w:val="auto"/>
        </w:rPr>
      </w:pPr>
    </w:p>
    <w:p>
      <w:pPr>
        <w:ind w:left="660" w:right="240" w:hanging="652"/>
        <w:spacing w:after="0" w:line="29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29" w:lineRule="exact"/>
        <w:rPr>
          <w:sz w:val="20"/>
          <w:szCs w:val="20"/>
          <w:color w:val="auto"/>
        </w:rPr>
      </w:pPr>
    </w:p>
    <w:p>
      <w:pPr>
        <w:ind w:left="660" w:right="2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86"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terminate if any managing director ceases for any cause to be a Director, or if the Company by Ordinary Resolution resolves that his tenure of office be terminated.</w:t>
      </w:r>
    </w:p>
    <w:p>
      <w:pPr>
        <w:spacing w:after="0" w:line="178" w:lineRule="exact"/>
        <w:rPr>
          <w:rFonts w:ascii="Arial" w:cs="Arial" w:eastAsia="Arial" w:hAnsi="Arial"/>
          <w:sz w:val="17"/>
          <w:szCs w:val="17"/>
          <w:color w:val="auto"/>
        </w:rPr>
      </w:pPr>
    </w:p>
    <w:p>
      <w:pPr>
        <w:ind w:left="660" w:hanging="652"/>
        <w:spacing w:after="0" w:line="29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the provisions of Article 100, for so long as the Partnership Condition is satisfied, the Partnership shall have the right to nominate and recommend candidate for chief executive officer of the Company, after which such candidate shall stand for appointment by the nominating and corporate governance committee of the Board. In the event that (i)such candidate is not appointed by the nominating and corporate governance committee of the Board, or (ii) the chief executive officer nominated by the Partnership is removed by the Directors, the Partnership may nominate a replacement nominee until the nominating and corporate governance committee appoints such nominee as chief executive officer. If the nominating and corporate governance committee or the Board fails to appoint more than three candidates nominated by the Partnership consecutively, the Board may then nominate and appoint any person to serve as chief executive officer of the Company.</w:t>
      </w:r>
    </w:p>
    <w:p>
      <w:pPr>
        <w:spacing w:after="0" w:line="166" w:lineRule="exact"/>
        <w:rPr>
          <w:rFonts w:ascii="Arial" w:cs="Arial" w:eastAsia="Arial" w:hAnsi="Arial"/>
          <w:sz w:val="16"/>
          <w:szCs w:val="16"/>
          <w:color w:val="auto"/>
        </w:rPr>
      </w:pPr>
    </w:p>
    <w:p>
      <w:pPr>
        <w:jc w:val="both"/>
        <w:ind w:left="660" w:right="140" w:hanging="652"/>
        <w:spacing w:after="0" w:line="31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right="4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23" w:lineRule="exact"/>
        <w:rPr>
          <w:rFonts w:ascii="Arial" w:cs="Arial" w:eastAsia="Arial" w:hAnsi="Arial"/>
          <w:sz w:val="16"/>
          <w:szCs w:val="16"/>
          <w:color w:val="auto"/>
        </w:rPr>
      </w:pPr>
    </w:p>
    <w:p>
      <w:pPr>
        <w:jc w:val="both"/>
        <w:ind w:left="660" w:hanging="652"/>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6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70"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83" w:lineRule="exact"/>
        <w:rPr>
          <w:rFonts w:ascii="Arial" w:cs="Arial" w:eastAsia="Arial" w:hAnsi="Arial"/>
          <w:sz w:val="18"/>
          <w:szCs w:val="18"/>
          <w:color w:val="auto"/>
        </w:rPr>
      </w:pPr>
    </w:p>
    <w:p>
      <w:pPr>
        <w:ind w:left="660" w:right="60" w:hanging="652"/>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92"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 OF DIRECTORS</w:t>
      </w:r>
    </w:p>
    <w:p>
      <w:pPr>
        <w:spacing w:after="0" w:line="229" w:lineRule="exact"/>
        <w:rPr>
          <w:sz w:val="20"/>
          <w:szCs w:val="20"/>
          <w:color w:val="auto"/>
        </w:rPr>
      </w:pPr>
    </w:p>
    <w:p>
      <w:pPr>
        <w:jc w:val="both"/>
        <w:ind w:left="660" w:right="440" w:hanging="652"/>
        <w:spacing w:after="0" w:line="31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SEAL</w:t>
      </w:r>
    </w:p>
    <w:p>
      <w:pPr>
        <w:spacing w:after="0" w:line="229" w:lineRule="exact"/>
        <w:rPr>
          <w:sz w:val="20"/>
          <w:szCs w:val="20"/>
          <w:color w:val="auto"/>
        </w:rPr>
      </w:pPr>
    </w:p>
    <w:p>
      <w:pPr>
        <w:ind w:left="660" w:right="80" w:hanging="652"/>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57" w:lineRule="exact"/>
        <w:rPr>
          <w:rFonts w:ascii="Arial" w:cs="Arial" w:eastAsia="Arial" w:hAnsi="Arial"/>
          <w:sz w:val="16"/>
          <w:szCs w:val="16"/>
          <w:color w:val="auto"/>
        </w:rPr>
      </w:pPr>
    </w:p>
    <w:p>
      <w:pPr>
        <w:ind w:left="660" w:right="40" w:hanging="652"/>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652" w:right="460" w:hanging="652"/>
        <w:spacing w:after="0" w:line="263"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8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DISQUALIFICATION OF DIRECTORS</w:t>
      </w:r>
    </w:p>
    <w:p>
      <w:pPr>
        <w:spacing w:after="0" w:line="229" w:lineRule="exact"/>
        <w:rPr>
          <w:sz w:val="20"/>
          <w:szCs w:val="20"/>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creditors;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dies or is found to be or becomes of unsound mind;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pacing w:after="0" w:line="225" w:lineRule="exact"/>
        <w:rPr>
          <w:rFonts w:ascii="Arial" w:cs="Arial" w:eastAsia="Arial" w:hAnsi="Arial"/>
          <w:sz w:val="18"/>
          <w:szCs w:val="18"/>
          <w:color w:val="auto"/>
        </w:rPr>
      </w:pPr>
    </w:p>
    <w:p>
      <w:pPr>
        <w:ind w:left="1292" w:right="380" w:hanging="644"/>
        <w:spacing w:after="0" w:line="277" w:lineRule="auto"/>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four consecutive meetings and the Board resolves that his office be vacated;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these Articles.</w:t>
      </w:r>
    </w:p>
    <w:p>
      <w:pPr>
        <w:spacing w:after="0" w:line="2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ind w:left="652" w:hanging="652"/>
        <w:spacing w:after="0" w:line="257" w:lineRule="auto"/>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Directors may meet together (either within or without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7" w:lineRule="exact"/>
        <w:rPr>
          <w:rFonts w:ascii="Arial" w:cs="Arial" w:eastAsia="Arial" w:hAnsi="Arial"/>
          <w:sz w:val="18"/>
          <w:szCs w:val="18"/>
          <w:color w:val="auto"/>
        </w:rPr>
      </w:pPr>
    </w:p>
    <w:p>
      <w:pPr>
        <w:ind w:left="652" w:right="100" w:hanging="652"/>
        <w:spacing w:after="0" w:line="286" w:lineRule="auto"/>
        <w:tabs>
          <w:tab w:leader="none" w:pos="6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65" w:lineRule="exact"/>
        <w:rPr>
          <w:rFonts w:ascii="Arial" w:cs="Arial" w:eastAsia="Arial" w:hAnsi="Arial"/>
          <w:sz w:val="17"/>
          <w:szCs w:val="17"/>
          <w:color w:val="auto"/>
        </w:rPr>
      </w:pPr>
    </w:p>
    <w:p>
      <w:pPr>
        <w:ind w:left="652" w:right="60" w:hanging="652"/>
        <w:spacing w:after="0" w:line="263" w:lineRule="auto"/>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83" w:lineRule="exact"/>
        <w:rPr>
          <w:rFonts w:ascii="Arial" w:cs="Arial" w:eastAsia="Arial" w:hAnsi="Arial"/>
          <w:sz w:val="18"/>
          <w:szCs w:val="18"/>
          <w:color w:val="auto"/>
        </w:rPr>
      </w:pPr>
    </w:p>
    <w:p>
      <w:pPr>
        <w:ind w:left="652" w:hanging="652"/>
        <w:spacing w:after="0" w:line="291" w:lineRule="auto"/>
        <w:tabs>
          <w:tab w:leader="none" w:pos="6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38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25" w:name="page26"/>
    <w:bookmarkEnd w:id="25"/>
    <w:p>
      <w:pPr>
        <w:ind w:left="660" w:right="80" w:hanging="652"/>
        <w:spacing w:after="0" w:line="270"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0" w:lineRule="exact"/>
        <w:rPr>
          <w:rFonts w:ascii="Arial" w:cs="Arial" w:eastAsia="Arial" w:hAnsi="Arial"/>
          <w:sz w:val="17"/>
          <w:szCs w:val="17"/>
          <w:color w:val="auto"/>
        </w:rPr>
      </w:pPr>
    </w:p>
    <w:p>
      <w:pPr>
        <w:ind w:left="660" w:right="6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Directors shall cause minutes to be made for the purpose of recording: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225" w:lineRule="exact"/>
        <w:rPr>
          <w:rFonts w:ascii="Arial" w:cs="Arial" w:eastAsia="Arial" w:hAnsi="Arial"/>
          <w:sz w:val="18"/>
          <w:szCs w:val="18"/>
          <w:color w:val="auto"/>
        </w:rPr>
      </w:pPr>
    </w:p>
    <w:p>
      <w:pPr>
        <w:ind w:left="660" w:right="80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23"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76" w:lineRule="exact"/>
        <w:rPr>
          <w:rFonts w:ascii="Arial" w:cs="Arial" w:eastAsia="Arial" w:hAnsi="Arial"/>
          <w:sz w:val="17"/>
          <w:szCs w:val="17"/>
          <w:color w:val="auto"/>
        </w:rPr>
      </w:pPr>
    </w:p>
    <w:p>
      <w:pPr>
        <w:ind w:left="660" w:right="20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83"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8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jc w:val="center"/>
        <w:ind w:right="-71"/>
        <w:spacing w:after="0"/>
        <w:rPr>
          <w:sz w:val="20"/>
          <w:szCs w:val="20"/>
          <w:color w:val="auto"/>
        </w:rPr>
      </w:pPr>
      <w:r>
        <w:rPr>
          <w:rFonts w:ascii="Arial" w:cs="Arial" w:eastAsia="Arial" w:hAnsi="Arial"/>
          <w:sz w:val="18"/>
          <w:szCs w:val="18"/>
          <w:b w:val="1"/>
          <w:bCs w:val="1"/>
          <w:color w:val="auto"/>
        </w:rPr>
        <w:t>PRESUMPTION OF ASSENT</w:t>
      </w:r>
    </w:p>
    <w:p>
      <w:pPr>
        <w:spacing w:after="0" w:line="229" w:lineRule="exact"/>
        <w:rPr>
          <w:sz w:val="20"/>
          <w:szCs w:val="20"/>
          <w:color w:val="auto"/>
        </w:rPr>
      </w:pPr>
    </w:p>
    <w:p>
      <w:pPr>
        <w:ind w:left="652" w:right="140" w:hanging="652"/>
        <w:spacing w:after="0" w:line="257"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84"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52" w:right="100" w:hanging="652"/>
        <w:spacing w:after="0" w:line="263"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83"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70" w:lineRule="exact"/>
        <w:rPr>
          <w:rFonts w:ascii="Arial" w:cs="Arial" w:eastAsia="Arial" w:hAnsi="Arial"/>
          <w:sz w:val="18"/>
          <w:szCs w:val="18"/>
          <w:color w:val="auto"/>
        </w:rPr>
      </w:pPr>
    </w:p>
    <w:p>
      <w:pPr>
        <w:ind w:left="652" w:right="20" w:hanging="652"/>
        <w:spacing w:after="0" w:line="25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7" w:lineRule="exact"/>
        <w:rPr>
          <w:rFonts w:ascii="Arial" w:cs="Arial" w:eastAsia="Arial" w:hAnsi="Arial"/>
          <w:sz w:val="18"/>
          <w:szCs w:val="18"/>
          <w:color w:val="auto"/>
        </w:rPr>
      </w:pPr>
    </w:p>
    <w:p>
      <w:pPr>
        <w:ind w:left="652" w:right="40" w:hanging="652"/>
        <w:spacing w:after="0" w:line="296" w:lineRule="auto"/>
        <w:tabs>
          <w:tab w:leader="none" w:pos="6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61" w:lineRule="exact"/>
        <w:rPr>
          <w:rFonts w:ascii="Arial" w:cs="Arial" w:eastAsia="Arial" w:hAnsi="Arial"/>
          <w:sz w:val="16"/>
          <w:szCs w:val="16"/>
          <w:color w:val="auto"/>
        </w:rPr>
      </w:pPr>
    </w:p>
    <w:p>
      <w:pPr>
        <w:ind w:left="652" w:hanging="652"/>
        <w:spacing w:after="0" w:line="279" w:lineRule="auto"/>
        <w:tabs>
          <w:tab w:leader="none" w:pos="6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1" w:lineRule="exact"/>
        <w:rPr>
          <w:rFonts w:ascii="Arial" w:cs="Arial" w:eastAsia="Arial" w:hAnsi="Arial"/>
          <w:sz w:val="17"/>
          <w:szCs w:val="17"/>
          <w:color w:val="auto"/>
        </w:rPr>
      </w:pPr>
    </w:p>
    <w:p>
      <w:pPr>
        <w:ind w:left="652" w:hanging="652"/>
        <w:spacing w:after="0" w:line="259"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86"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effective receipts for any dividend or other moneys payable on or in respect of the Share.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225"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66"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ACCOUNTS, AUDIT AND ANNUAL RETURN AND DECLARATION</w:t>
      </w:r>
    </w:p>
    <w:p>
      <w:pPr>
        <w:spacing w:after="0" w:line="229" w:lineRule="exact"/>
        <w:rPr>
          <w:sz w:val="20"/>
          <w:szCs w:val="20"/>
          <w:color w:val="auto"/>
        </w:rPr>
      </w:pPr>
    </w:p>
    <w:p>
      <w:pPr>
        <w:jc w:val="center"/>
        <w:ind w:left="5512" w:right="280" w:hanging="5512"/>
        <w:spacing w:after="0" w:line="778" w:lineRule="auto"/>
        <w:tabs>
          <w:tab w:leader="none" w:pos="6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books of account relating to the Company's affairs shall be kept in such manner as may be determined from time to time by the Directors.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4" w:right="419" w:bottom="1440" w:gutter="0" w:footer="0" w:header="0"/>
        </w:sectPr>
      </w:pPr>
    </w:p>
    <w:bookmarkStart w:id="27" w:name="page28"/>
    <w:bookmarkEnd w:id="27"/>
    <w:p>
      <w:pPr>
        <w:ind w:left="660" w:right="14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books of account shall be kept at the Registered Office, or at such other place or places as the Directors think fit, and shall always be open to the inspection of the Directors.</w:t>
      </w:r>
    </w:p>
    <w:p>
      <w:pPr>
        <w:spacing w:after="0" w:line="170" w:lineRule="exact"/>
        <w:rPr>
          <w:rFonts w:ascii="Arial" w:cs="Arial" w:eastAsia="Arial" w:hAnsi="Arial"/>
          <w:sz w:val="18"/>
          <w:szCs w:val="18"/>
          <w:color w:val="auto"/>
        </w:rPr>
      </w:pPr>
    </w:p>
    <w:p>
      <w:pPr>
        <w:ind w:left="660" w:right="80" w:hanging="652"/>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p>
      <w:pPr>
        <w:spacing w:after="0" w:line="186"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170"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83" w:lineRule="exact"/>
        <w:rPr>
          <w:rFonts w:ascii="Arial" w:cs="Arial" w:eastAsia="Arial" w:hAnsi="Arial"/>
          <w:sz w:val="18"/>
          <w:szCs w:val="18"/>
          <w:color w:val="auto"/>
        </w:rPr>
      </w:pPr>
    </w:p>
    <w:p>
      <w:pPr>
        <w:ind w:left="660" w:right="16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CAPITALISATION OF RESERVES</w:t>
      </w:r>
    </w:p>
    <w:p>
      <w:pPr>
        <w:spacing w:after="0" w:line="229"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the Companies Act, the Directors may:</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which is available for distribution;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660" w:right="60"/>
        <w:spacing w:after="0" w:line="311" w:lineRule="auto"/>
        <w:rPr>
          <w:sz w:val="20"/>
          <w:szCs w:val="20"/>
          <w:color w:val="auto"/>
        </w:rPr>
      </w:pPr>
      <w:r>
        <w:rPr>
          <w:rFonts w:ascii="Arial" w:cs="Arial" w:eastAsia="Arial" w:hAnsi="Arial"/>
          <w:sz w:val="16"/>
          <w:szCs w:val="16"/>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49" w:lineRule="exact"/>
        <w:rPr>
          <w:sz w:val="20"/>
          <w:szCs w:val="20"/>
          <w:color w:val="auto"/>
        </w:rPr>
      </w:pPr>
    </w:p>
    <w:p>
      <w:pPr>
        <w:ind w:left="1300" w:right="26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authorise a Person to enter (on behalf of all the Shareholders concerned) into an agreement with the Company providing for either:</w:t>
      </w:r>
    </w:p>
    <w:p>
      <w:pPr>
        <w:spacing w:after="0" w:line="236" w:lineRule="exact"/>
        <w:rPr>
          <w:rFonts w:ascii="Arial" w:cs="Arial" w:eastAsia="Arial" w:hAnsi="Arial"/>
          <w:sz w:val="17"/>
          <w:szCs w:val="17"/>
          <w:color w:val="auto"/>
        </w:rPr>
      </w:pPr>
    </w:p>
    <w:p>
      <w:pPr>
        <w:ind w:left="1960" w:right="220" w:hanging="656"/>
        <w:spacing w:after="0" w:line="277" w:lineRule="auto"/>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allotment to the Shareholders respectively, credited as fully paid, of Shares or debentures to which they may be entitled on the capitalisation, or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1960" w:right="300" w:hanging="656"/>
        <w:spacing w:after="0" w:line="308" w:lineRule="auto"/>
        <w:tabs>
          <w:tab w:leader="none" w:pos="1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the resolution.</w:t>
      </w:r>
    </w:p>
    <w:p>
      <w:pPr>
        <w:spacing w:after="0" w:line="225"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83" w:lineRule="exact"/>
        <w:rPr>
          <w:rFonts w:ascii="Arial" w:cs="Arial" w:eastAsia="Arial" w:hAnsi="Arial"/>
          <w:sz w:val="18"/>
          <w:szCs w:val="18"/>
          <w:color w:val="auto"/>
        </w:rPr>
      </w:pPr>
    </w:p>
    <w:p>
      <w:pPr>
        <w:jc w:val="both"/>
        <w:ind w:left="1300" w:right="40" w:hanging="644"/>
        <w:spacing w:after="0" w:line="286"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65" w:lineRule="exact"/>
        <w:rPr>
          <w:rFonts w:ascii="Arial" w:cs="Arial" w:eastAsia="Arial" w:hAnsi="Arial"/>
          <w:sz w:val="17"/>
          <w:szCs w:val="17"/>
          <w:color w:val="auto"/>
        </w:rPr>
      </w:pPr>
    </w:p>
    <w:p>
      <w:pPr>
        <w:ind w:left="1300" w:hanging="644"/>
        <w:spacing w:after="0" w:line="259"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PREMIUM ACCOUNT</w:t>
      </w:r>
    </w:p>
    <w:p>
      <w:pPr>
        <w:spacing w:after="0" w:line="229" w:lineRule="exact"/>
        <w:rPr>
          <w:sz w:val="20"/>
          <w:szCs w:val="20"/>
          <w:color w:val="auto"/>
        </w:rPr>
      </w:pPr>
    </w:p>
    <w:p>
      <w:pPr>
        <w:ind w:left="660" w:right="2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70" w:lineRule="exact"/>
        <w:rPr>
          <w:rFonts w:ascii="Arial" w:cs="Arial" w:eastAsia="Arial" w:hAnsi="Arial"/>
          <w:sz w:val="18"/>
          <w:szCs w:val="18"/>
          <w:color w:val="auto"/>
        </w:rPr>
      </w:pPr>
    </w:p>
    <w:p>
      <w:pPr>
        <w:ind w:left="660" w:right="10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right="40" w:hanging="652"/>
        <w:spacing w:after="0" w:line="272"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Notices sent from one country to another shall be sent or forwarded by prepaid airmail or a recognised courier service.</w:t>
      </w:r>
    </w:p>
    <w:p>
      <w:pPr>
        <w:spacing w:after="0" w:line="225"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post, shall be deemed to have been served five calendar days after the time when the letter containing the same is posted;</w:t>
      </w:r>
    </w:p>
    <w:p>
      <w:pPr>
        <w:spacing w:after="0" w:line="225" w:lineRule="exact"/>
        <w:rPr>
          <w:rFonts w:ascii="Arial" w:cs="Arial" w:eastAsia="Arial" w:hAnsi="Arial"/>
          <w:sz w:val="18"/>
          <w:szCs w:val="18"/>
          <w:color w:val="auto"/>
        </w:rPr>
      </w:pPr>
    </w:p>
    <w:p>
      <w:pPr>
        <w:ind w:left="1300" w:right="880" w:hanging="644"/>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recognised courier service, shall be deemed to have been served 48 hours after the time when the letter containing the same is delivered to the courier service; or</w:t>
      </w:r>
    </w:p>
    <w:p>
      <w:pPr>
        <w:spacing w:after="0" w:line="170" w:lineRule="exact"/>
        <w:rPr>
          <w:rFonts w:ascii="Arial" w:cs="Arial" w:eastAsia="Arial" w:hAnsi="Arial"/>
          <w:sz w:val="18"/>
          <w:szCs w:val="18"/>
          <w:color w:val="auto"/>
        </w:rPr>
      </w:pPr>
    </w:p>
    <w:p>
      <w:pPr>
        <w:ind w:left="1300" w:right="200" w:hanging="644"/>
        <w:spacing w:after="0" w:line="308" w:lineRule="auto"/>
        <w:tabs>
          <w:tab w:leader="none" w:pos="13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46"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70" w:lineRule="exact"/>
        <w:rPr>
          <w:sz w:val="20"/>
          <w:szCs w:val="20"/>
          <w:color w:val="auto"/>
        </w:rPr>
      </w:pPr>
    </w:p>
    <w:p>
      <w:pPr>
        <w:ind w:left="660" w:right="100" w:hanging="652"/>
        <w:spacing w:after="0" w:line="25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Notice of every general meeting of the Company shall be given to:</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Shareholder, who but for his death or bankruptcy would be entitled to receive notice of the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w:t>
      </w:r>
    </w:p>
    <w:p>
      <w:pPr>
        <w:spacing w:after="0" w:line="229" w:lineRule="exact"/>
        <w:rPr>
          <w:sz w:val="20"/>
          <w:szCs w:val="20"/>
          <w:color w:val="auto"/>
        </w:rPr>
      </w:pPr>
    </w:p>
    <w:p>
      <w:pPr>
        <w:ind w:left="660" w:right="20" w:hanging="652"/>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86" w:lineRule="exact"/>
        <w:rPr>
          <w:rFonts w:ascii="Arial" w:cs="Arial" w:eastAsia="Arial" w:hAnsi="Arial"/>
          <w:sz w:val="18"/>
          <w:szCs w:val="18"/>
          <w:color w:val="auto"/>
        </w:rPr>
      </w:pPr>
    </w:p>
    <w:p>
      <w:pPr>
        <w:jc w:val="both"/>
        <w:ind w:left="660" w:right="500" w:hanging="652"/>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left="660" w:hanging="652"/>
        <w:spacing w:after="0" w:line="290"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 w:name="page31"/>
    <w:bookmarkEnd w:id="30"/>
    <w:p>
      <w:pPr>
        <w:ind w:left="652" w:hanging="652"/>
        <w:spacing w:after="0"/>
        <w:tabs>
          <w:tab w:leader="none" w:pos="6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Indemnified Person shall be liable: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225" w:lineRule="exact"/>
        <w:rPr>
          <w:rFonts w:ascii="Arial" w:cs="Arial" w:eastAsia="Arial" w:hAnsi="Arial"/>
          <w:sz w:val="18"/>
          <w:szCs w:val="18"/>
          <w:color w:val="auto"/>
        </w:rPr>
      </w:pPr>
    </w:p>
    <w:p>
      <w:pPr>
        <w:ind w:left="1292" w:right="80" w:hanging="644"/>
        <w:spacing w:after="0" w:line="277" w:lineRule="auto"/>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170" w:lineRule="exact"/>
        <w:rPr>
          <w:rFonts w:ascii="Arial" w:cs="Arial" w:eastAsia="Arial" w:hAnsi="Arial"/>
          <w:sz w:val="18"/>
          <w:szCs w:val="18"/>
          <w:color w:val="auto"/>
        </w:rPr>
      </w:pPr>
    </w:p>
    <w:p>
      <w:pPr>
        <w:ind w:left="1292" w:right="380" w:hanging="644"/>
        <w:spacing w:after="0" w:line="277" w:lineRule="auto"/>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FINANCIAL YEAR</w:t>
      </w:r>
    </w:p>
    <w:p>
      <w:pPr>
        <w:spacing w:after="0" w:line="233" w:lineRule="exact"/>
        <w:rPr>
          <w:sz w:val="20"/>
          <w:szCs w:val="20"/>
          <w:color w:val="auto"/>
        </w:rPr>
      </w:pPr>
    </w:p>
    <w:p>
      <w:pPr>
        <w:ind w:left="652" w:right="80" w:hanging="652"/>
        <w:spacing w:after="0" w:line="186" w:lineRule="auto"/>
        <w:tabs>
          <w:tab w:leader="none" w:pos="652" w:val="left"/>
        </w:tabs>
        <w:numPr>
          <w:ilvl w:val="0"/>
          <w:numId w:val="65"/>
        </w:numPr>
        <w:rPr>
          <w:rFonts w:ascii="Arial" w:cs="Arial" w:eastAsia="Arial" w:hAnsi="Arial"/>
          <w:sz w:val="36"/>
          <w:szCs w:val="36"/>
          <w:color w:val="auto"/>
          <w:vertAlign w:val="superscript"/>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 each calendar year and shall begin on January 1st in each calendar year.</w:t>
      </w:r>
    </w:p>
    <w:p>
      <w:pPr>
        <w:spacing w:after="0" w:line="20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NON-RECOGNITION OF TRUSTS</w:t>
      </w:r>
    </w:p>
    <w:p>
      <w:pPr>
        <w:spacing w:after="0" w:line="229" w:lineRule="exact"/>
        <w:rPr>
          <w:sz w:val="20"/>
          <w:szCs w:val="20"/>
          <w:color w:val="auto"/>
        </w:rPr>
      </w:pPr>
    </w:p>
    <w:p>
      <w:pPr>
        <w:jc w:val="both"/>
        <w:ind w:left="652" w:right="20" w:hanging="652"/>
        <w:spacing w:after="0" w:line="259" w:lineRule="auto"/>
        <w:tabs>
          <w:tab w:leader="none" w:pos="6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83"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ind w:left="652" w:right="40" w:hanging="652"/>
        <w:spacing w:after="0" w:line="273" w:lineRule="auto"/>
        <w:tabs>
          <w:tab w:leader="none" w:pos="6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77" w:lineRule="exact"/>
        <w:rPr>
          <w:rFonts w:ascii="Arial" w:cs="Arial" w:eastAsia="Arial" w:hAnsi="Arial"/>
          <w:sz w:val="17"/>
          <w:szCs w:val="17"/>
          <w:color w:val="auto"/>
        </w:rPr>
      </w:pPr>
    </w:p>
    <w:p>
      <w:pPr>
        <w:ind w:left="652" w:hanging="652"/>
        <w:spacing w:after="0" w:line="272" w:lineRule="auto"/>
        <w:tabs>
          <w:tab w:leader="none" w:pos="6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3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AMENDMENT OF ARTICLES OF ASSOCIATION</w:t>
      </w:r>
    </w:p>
    <w:p>
      <w:pPr>
        <w:spacing w:after="0" w:line="229" w:lineRule="exact"/>
        <w:rPr>
          <w:sz w:val="20"/>
          <w:szCs w:val="20"/>
          <w:color w:val="auto"/>
        </w:rPr>
      </w:pPr>
    </w:p>
    <w:p>
      <w:pPr>
        <w:ind w:left="660" w:right="14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Companies Act, the Company may at any time and from time to time by Special Resolution alter or amend these Articles in whole or in part.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OF REGISTER OR FIXING RECORD DATE</w:t>
      </w:r>
    </w:p>
    <w:p>
      <w:pPr>
        <w:spacing w:after="0" w:line="229" w:lineRule="exact"/>
        <w:rPr>
          <w:sz w:val="20"/>
          <w:szCs w:val="20"/>
          <w:color w:val="auto"/>
        </w:rPr>
      </w:pPr>
    </w:p>
    <w:p>
      <w:pPr>
        <w:ind w:left="660" w:right="4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86" w:lineRule="exact"/>
        <w:rPr>
          <w:rFonts w:ascii="Arial" w:cs="Arial" w:eastAsia="Arial" w:hAnsi="Arial"/>
          <w:sz w:val="18"/>
          <w:szCs w:val="18"/>
          <w:color w:val="auto"/>
        </w:rPr>
      </w:pPr>
    </w:p>
    <w:p>
      <w:pPr>
        <w:ind w:left="660" w:right="620" w:hanging="652"/>
        <w:spacing w:after="0" w:line="279"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1" w:lineRule="exact"/>
        <w:rPr>
          <w:rFonts w:ascii="Arial" w:cs="Arial" w:eastAsia="Arial" w:hAnsi="Arial"/>
          <w:sz w:val="17"/>
          <w:szCs w:val="17"/>
          <w:color w:val="auto"/>
        </w:rPr>
      </w:pPr>
    </w:p>
    <w:p>
      <w:pPr>
        <w:ind w:left="660" w:hanging="652"/>
        <w:spacing w:after="0" w:line="29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BY WAY OF CONTINUATION</w:t>
      </w:r>
    </w:p>
    <w:p>
      <w:pPr>
        <w:spacing w:after="0" w:line="229" w:lineRule="exact"/>
        <w:rPr>
          <w:sz w:val="20"/>
          <w:szCs w:val="20"/>
          <w:color w:val="auto"/>
        </w:rPr>
      </w:pPr>
    </w:p>
    <w:p>
      <w:pPr>
        <w:ind w:left="660" w:right="240" w:hanging="652"/>
        <w:spacing w:after="0" w:line="275"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ind w:left="660" w:right="100" w:hanging="652"/>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lvl w:ilvl="1">
      <w:lvlJc w:val="left"/>
      <w:lvlText w:val="(%2)"/>
      <w:numFmt w:val="lowerLetter"/>
      <w:start w:val="1"/>
    </w:lvl>
  </w:abstractNum>
  <w:abstractNum w:abstractNumId="4">
    <w:nsid w:val="5C482A97"/>
    <w:multiLevelType w:val="hybridMultilevel"/>
    <w:lvl w:ilvl="0">
      <w:lvlJc w:val="left"/>
      <w:lvlText w:val="%1."/>
      <w:numFmt w:val="decimal"/>
      <w:start w:val="4"/>
    </w:lvl>
  </w:abstractNum>
  <w:abstractNum w:abstractNumId="5">
    <w:nsid w:val="2463B9EA"/>
    <w:multiLevelType w:val="hybridMultilevel"/>
    <w:lvl w:ilvl="0">
      <w:lvlJc w:val="left"/>
      <w:lvlText w:val="%1."/>
      <w:numFmt w:val="decimal"/>
      <w:start w:val="5"/>
    </w:lvl>
  </w:abstractNum>
  <w:abstractNum w:abstractNumId="6">
    <w:nsid w:val="5E884ADC"/>
    <w:multiLevelType w:val="hybridMultilevel"/>
    <w:lvl w:ilvl="0">
      <w:lvlJc w:val="left"/>
      <w:lvlText w:val="%1."/>
      <w:numFmt w:val="decimal"/>
      <w:start w:val="8"/>
    </w:lvl>
    <w:lvl w:ilvl="1">
      <w:lvlJc w:val="left"/>
      <w:lvlText w:val="(%2)"/>
      <w:numFmt w:val="lowerLetter"/>
      <w:start w:val="1"/>
    </w:lvl>
  </w:abstractNum>
  <w:abstractNum w:abstractNumId="7">
    <w:nsid w:val="51EAD36B"/>
    <w:multiLevelType w:val="hybridMultilevel"/>
    <w:lvl w:ilvl="0">
      <w:lvlJc w:val="left"/>
      <w:lvlText w:val="(%1)"/>
      <w:numFmt w:val="lowerLetter"/>
      <w:start w:val="4"/>
    </w:lvl>
  </w:abstractNum>
  <w:abstractNum w:abstractNumId="8">
    <w:nsid w:val="2D517796"/>
    <w:multiLevelType w:val="hybridMultilevel"/>
    <w:lvl w:ilvl="0">
      <w:lvlJc w:val="left"/>
      <w:lvlText w:val="%1."/>
      <w:numFmt w:val="decimal"/>
      <w:start w:val="10"/>
    </w:lvl>
  </w:abstractNum>
  <w:abstractNum w:abstractNumId="9">
    <w:nsid w:val="580BD78F"/>
    <w:multiLevelType w:val="hybridMultilevel"/>
    <w:lvl w:ilvl="0">
      <w:lvlJc w:val="left"/>
      <w:lvlText w:val="%1."/>
      <w:numFmt w:val="decimal"/>
      <w:start w:val="15"/>
    </w:lvl>
  </w:abstractNum>
  <w:abstractNum w:abstractNumId="10">
    <w:nsid w:val="153EA438"/>
    <w:multiLevelType w:val="hybridMultilevel"/>
    <w:lvl w:ilvl="0">
      <w:lvlJc w:val="left"/>
      <w:lvlText w:val="%1."/>
      <w:numFmt w:val="decimal"/>
      <w:start w:val="17"/>
    </w:lvl>
  </w:abstractNum>
  <w:abstractNum w:abstractNumId="11">
    <w:nsid w:val="3855585C"/>
    <w:multiLevelType w:val="hybridMultilevel"/>
    <w:lvl w:ilvl="0">
      <w:lvlJc w:val="left"/>
      <w:lvlText w:val="%1."/>
      <w:numFmt w:val="decimal"/>
      <w:start w:val="19"/>
    </w:lvl>
  </w:abstractNum>
  <w:abstractNum w:abstractNumId="12">
    <w:nsid w:val="70A64E2A"/>
    <w:multiLevelType w:val="hybridMultilevel"/>
    <w:lvl w:ilvl="0">
      <w:lvlJc w:val="left"/>
      <w:lvlText w:val="%1."/>
      <w:numFmt w:val="decimal"/>
      <w:start w:val="20"/>
    </w:lvl>
  </w:abstractNum>
  <w:abstractNum w:abstractNumId="13">
    <w:nsid w:val="6A2342EC"/>
    <w:multiLevelType w:val="hybridMultilevel"/>
    <w:lvl w:ilvl="0">
      <w:lvlJc w:val="left"/>
      <w:lvlText w:val="%1."/>
      <w:numFmt w:val="decimal"/>
      <w:start w:val="24"/>
    </w:lvl>
  </w:abstractNum>
  <w:abstractNum w:abstractNumId="14">
    <w:nsid w:val="2A487CB0"/>
    <w:multiLevelType w:val="hybridMultilevel"/>
    <w:lvl w:ilvl="0">
      <w:lvlJc w:val="left"/>
      <w:lvlText w:val="%1."/>
      <w:numFmt w:val="decimal"/>
      <w:start w:val="25"/>
    </w:lvl>
  </w:abstractNum>
  <w:abstractNum w:abstractNumId="15">
    <w:nsid w:val="1D4ED43B"/>
    <w:multiLevelType w:val="hybridMultilevel"/>
    <w:lvl w:ilvl="0">
      <w:lvlJc w:val="left"/>
      <w:lvlText w:val="%1."/>
      <w:numFmt w:val="decimal"/>
      <w:start w:val="29"/>
    </w:lvl>
  </w:abstractNum>
  <w:abstractNum w:abstractNumId="16">
    <w:nsid w:val="725A06FB"/>
    <w:multiLevelType w:val="hybridMultilevel"/>
    <w:lvl w:ilvl="0">
      <w:lvlJc w:val="left"/>
      <w:lvlText w:val="%1."/>
      <w:numFmt w:val="decimal"/>
      <w:start w:val="30"/>
    </w:lvl>
  </w:abstractNum>
  <w:abstractNum w:abstractNumId="17">
    <w:nsid w:val="2CD89A32"/>
    <w:multiLevelType w:val="hybridMultilevel"/>
    <w:lvl w:ilvl="0">
      <w:lvlJc w:val="left"/>
      <w:lvlText w:val="%1."/>
      <w:numFmt w:val="decimal"/>
      <w:start w:val="35"/>
    </w:lvl>
  </w:abstractNum>
  <w:abstractNum w:abstractNumId="18">
    <w:nsid w:val="57E4CCAF"/>
    <w:multiLevelType w:val="hybridMultilevel"/>
    <w:lvl w:ilvl="0">
      <w:lvlJc w:val="left"/>
      <w:lvlText w:val="%1."/>
      <w:numFmt w:val="decimal"/>
      <w:start w:val="42"/>
    </w:lvl>
  </w:abstractNum>
  <w:abstractNum w:abstractNumId="19">
    <w:nsid w:val="7A6D8D3C"/>
    <w:multiLevelType w:val="hybridMultilevel"/>
    <w:lvl w:ilvl="0">
      <w:lvlJc w:val="left"/>
      <w:lvlText w:val="%1."/>
      <w:numFmt w:val="decimal"/>
      <w:start w:val="43"/>
    </w:lvl>
    <w:lvl w:ilvl="1">
      <w:lvlJc w:val="left"/>
      <w:lvlText w:val="(%2)"/>
      <w:numFmt w:val="lowerLetter"/>
      <w:start w:val="2"/>
    </w:lvl>
    <w:lvl w:ilvl="2">
      <w:lvlJc w:val="left"/>
      <w:lvlText w:val="(%3)"/>
      <w:numFmt w:val="lowerRoman"/>
      <w:start w:val="1"/>
    </w:lvl>
  </w:abstractNum>
  <w:abstractNum w:abstractNumId="20">
    <w:nsid w:val="4B588F54"/>
    <w:multiLevelType w:val="hybridMultilevel"/>
    <w:lvl w:ilvl="0">
      <w:lvlJc w:val="left"/>
      <w:lvlText w:val="%1."/>
      <w:numFmt w:val="decimal"/>
      <w:start w:val="47"/>
    </w:lvl>
  </w:abstractNum>
  <w:abstractNum w:abstractNumId="21">
    <w:nsid w:val="542289EC"/>
    <w:multiLevelType w:val="hybridMultilevel"/>
    <w:lvl w:ilvl="0">
      <w:lvlJc w:val="left"/>
      <w:lvlText w:val="%1."/>
      <w:numFmt w:val="decimal"/>
      <w:start w:val="49"/>
    </w:lvl>
  </w:abstractNum>
  <w:abstractNum w:abstractNumId="22">
    <w:nsid w:val="6DE91B18"/>
    <w:multiLevelType w:val="hybridMultilevel"/>
    <w:lvl w:ilvl="0">
      <w:lvlJc w:val="left"/>
      <w:lvlText w:val="%1."/>
      <w:numFmt w:val="decimal"/>
      <w:start w:val="50"/>
    </w:lvl>
  </w:abstractNum>
  <w:abstractNum w:abstractNumId="23">
    <w:nsid w:val="38437FDB"/>
    <w:multiLevelType w:val="hybridMultilevel"/>
    <w:lvl w:ilvl="0">
      <w:lvlJc w:val="left"/>
      <w:lvlText w:val="%1."/>
      <w:numFmt w:val="decimal"/>
      <w:start w:val="51"/>
    </w:lvl>
    <w:lvl w:ilvl="1">
      <w:lvlJc w:val="left"/>
      <w:lvlText w:val="(%2)"/>
      <w:numFmt w:val="lowerLetter"/>
      <w:start w:val="1"/>
    </w:lvl>
  </w:abstractNum>
  <w:abstractNum w:abstractNumId="24">
    <w:nsid w:val="7644A45C"/>
    <w:multiLevelType w:val="hybridMultilevel"/>
    <w:lvl w:ilvl="0">
      <w:lvlJc w:val="left"/>
      <w:lvlText w:val="%1."/>
      <w:numFmt w:val="decimal"/>
      <w:start w:val="54"/>
    </w:lvl>
    <w:lvl w:ilvl="1">
      <w:lvlJc w:val="left"/>
      <w:lvlText w:val="(%2)"/>
      <w:numFmt w:val="lowerLetter"/>
      <w:start w:val="1"/>
    </w:lvl>
  </w:abstractNum>
  <w:abstractNum w:abstractNumId="25">
    <w:nsid w:val="32FFF902"/>
    <w:multiLevelType w:val="hybridMultilevel"/>
    <w:lvl w:ilvl="0">
      <w:lvlJc w:val="left"/>
      <w:lvlText w:val="%1."/>
      <w:numFmt w:val="decimal"/>
      <w:start w:val="55"/>
    </w:lvl>
  </w:abstractNum>
  <w:abstractNum w:abstractNumId="26">
    <w:nsid w:val="684A481A"/>
    <w:multiLevelType w:val="hybridMultilevel"/>
    <w:lvl w:ilvl="0">
      <w:lvlJc w:val="left"/>
      <w:lvlText w:val="%1."/>
      <w:numFmt w:val="decimal"/>
      <w:start w:val="58"/>
    </w:lvl>
  </w:abstractNum>
  <w:abstractNum w:abstractNumId="27">
    <w:nsid w:val="579478FE"/>
    <w:multiLevelType w:val="hybridMultilevel"/>
    <w:lvl w:ilvl="0">
      <w:lvlJc w:val="left"/>
      <w:lvlText w:val="%1."/>
      <w:numFmt w:val="decimal"/>
      <w:start w:val="60"/>
    </w:lvl>
    <w:lvl w:ilvl="1">
      <w:lvlJc w:val="left"/>
      <w:lvlText w:val="(%2)"/>
      <w:numFmt w:val="lowerLetter"/>
      <w:start w:val="2"/>
    </w:lvl>
  </w:abstractNum>
  <w:abstractNum w:abstractNumId="28">
    <w:nsid w:val="749ABB43"/>
    <w:multiLevelType w:val="hybridMultilevel"/>
    <w:lvl w:ilvl="0">
      <w:lvlJc w:val="left"/>
      <w:lvlText w:val="%1."/>
      <w:numFmt w:val="decimal"/>
      <w:start w:val="63"/>
    </w:lvl>
    <w:lvl w:ilvl="1">
      <w:lvlJc w:val="left"/>
      <w:lvlText w:val="(%2)"/>
      <w:numFmt w:val="lowerLetter"/>
      <w:start w:val="1"/>
    </w:lvl>
  </w:abstractNum>
  <w:abstractNum w:abstractNumId="29">
    <w:nsid w:val="3DC240FB"/>
    <w:multiLevelType w:val="hybridMultilevel"/>
    <w:lvl w:ilvl="0">
      <w:lvlJc w:val="left"/>
      <w:lvlText w:val="%1."/>
      <w:numFmt w:val="decimal"/>
      <w:start w:val="65"/>
    </w:lvl>
  </w:abstractNum>
  <w:abstractNum w:abstractNumId="30">
    <w:nsid w:val="1BA026FA"/>
    <w:multiLevelType w:val="hybridMultilevel"/>
    <w:lvl w:ilvl="0">
      <w:lvlJc w:val="left"/>
      <w:lvlText w:val="%1."/>
      <w:numFmt w:val="decimal"/>
      <w:start w:val="73"/>
    </w:lvl>
  </w:abstractNum>
  <w:abstractNum w:abstractNumId="31">
    <w:nsid w:val="79A1DEAA"/>
    <w:multiLevelType w:val="hybridMultilevel"/>
    <w:lvl w:ilvl="0">
      <w:lvlJc w:val="left"/>
      <w:lvlText w:val="%1."/>
      <w:numFmt w:val="decimal"/>
      <w:start w:val="76"/>
    </w:lvl>
    <w:lvl w:ilvl="1">
      <w:lvlJc w:val="left"/>
      <w:lvlText w:val="(%2)"/>
      <w:numFmt w:val="lowerLetter"/>
      <w:start w:val="1"/>
    </w:lvl>
  </w:abstractNum>
  <w:abstractNum w:abstractNumId="32">
    <w:nsid w:val="75C6C33A"/>
    <w:multiLevelType w:val="hybridMultilevel"/>
    <w:lvl w:ilvl="0">
      <w:lvlJc w:val="left"/>
      <w:lvlText w:val="%1."/>
      <w:numFmt w:val="decimal"/>
      <w:start w:val="84"/>
    </w:lvl>
  </w:abstractNum>
  <w:abstractNum w:abstractNumId="33">
    <w:nsid w:val="12E685FB"/>
    <w:multiLevelType w:val="hybridMultilevel"/>
    <w:lvl w:ilvl="0">
      <w:lvlJc w:val="left"/>
      <w:lvlText w:val="%1."/>
      <w:numFmt w:val="decimal"/>
      <w:start w:val="86"/>
    </w:lvl>
  </w:abstractNum>
  <w:abstractNum w:abstractNumId="34">
    <w:nsid w:val="70C6A529"/>
    <w:multiLevelType w:val="hybridMultilevel"/>
    <w:lvl w:ilvl="0">
      <w:lvlJc w:val="left"/>
      <w:lvlText w:val="%1."/>
      <w:numFmt w:val="decimal"/>
      <w:start w:val="87"/>
    </w:lvl>
  </w:abstractNum>
  <w:abstractNum w:abstractNumId="35">
    <w:nsid w:val="520EEDD1"/>
    <w:multiLevelType w:val="hybridMultilevel"/>
    <w:lvl w:ilvl="0">
      <w:lvlJc w:val="left"/>
      <w:lvlText w:val="%1."/>
      <w:numFmt w:val="decimal"/>
      <w:start w:val="88"/>
    </w:lvl>
    <w:lvl w:ilvl="1">
      <w:lvlJc w:val="left"/>
      <w:lvlText w:val="(%2)"/>
      <w:numFmt w:val="lowerLetter"/>
      <w:start w:val="2"/>
    </w:lvl>
  </w:abstractNum>
  <w:abstractNum w:abstractNumId="36">
    <w:nsid w:val="374A3FE6"/>
    <w:multiLevelType w:val="hybridMultilevel"/>
    <w:lvl w:ilvl="0">
      <w:lvlJc w:val="left"/>
      <w:lvlText w:val="%1"/>
      <w:numFmt w:val="decimal"/>
      <w:start w:val="1"/>
    </w:lvl>
    <w:lvl w:ilvl="1">
      <w:lvlJc w:val="left"/>
      <w:lvlText w:val="(%2)"/>
      <w:numFmt w:val="lowerLetter"/>
      <w:start w:val="6"/>
    </w:lvl>
  </w:abstractNum>
  <w:abstractNum w:abstractNumId="37">
    <w:nsid w:val="4F4EF005"/>
    <w:multiLevelType w:val="hybridMultilevel"/>
    <w:lvl w:ilvl="0">
      <w:lvlJc w:val="left"/>
      <w:lvlText w:val="%1."/>
      <w:numFmt w:val="decimal"/>
      <w:start w:val="89"/>
    </w:lvl>
    <w:lvl w:ilvl="1">
      <w:lvlJc w:val="left"/>
      <w:lvlText w:val="%2"/>
      <w:numFmt w:val="lowerLetter"/>
      <w:start w:val="1"/>
    </w:lvl>
  </w:abstractNum>
  <w:abstractNum w:abstractNumId="38">
    <w:nsid w:val="23F9C13C"/>
    <w:multiLevelType w:val="hybridMultilevel"/>
    <w:lvl w:ilvl="0">
      <w:lvlJc w:val="left"/>
      <w:lvlText w:val="%1."/>
      <w:numFmt w:val="decimal"/>
      <w:start w:val="96"/>
    </w:lvl>
  </w:abstractNum>
  <w:abstractNum w:abstractNumId="39">
    <w:nsid w:val="649BB77C"/>
    <w:multiLevelType w:val="hybridMultilevel"/>
    <w:lvl w:ilvl="0">
      <w:lvlJc w:val="left"/>
      <w:lvlText w:val="%1."/>
      <w:numFmt w:val="decimal"/>
      <w:start w:val="97"/>
    </w:lvl>
  </w:abstractNum>
  <w:abstractNum w:abstractNumId="40">
    <w:nsid w:val="275AC794"/>
    <w:multiLevelType w:val="hybridMultilevel"/>
    <w:lvl w:ilvl="0">
      <w:lvlJc w:val="left"/>
      <w:lvlText w:val="%1."/>
      <w:numFmt w:val="decimal"/>
      <w:start w:val="99"/>
    </w:lvl>
  </w:abstractNum>
  <w:abstractNum w:abstractNumId="41">
    <w:nsid w:val="39386575"/>
    <w:multiLevelType w:val="hybridMultilevel"/>
    <w:lvl w:ilvl="0">
      <w:lvlJc w:val="left"/>
      <w:lvlText w:val="%1."/>
      <w:numFmt w:val="decimal"/>
      <w:start w:val="103"/>
    </w:lvl>
  </w:abstractNum>
  <w:abstractNum w:abstractNumId="42">
    <w:nsid w:val="1CF10FD8"/>
    <w:multiLevelType w:val="hybridMultilevel"/>
    <w:lvl w:ilvl="0">
      <w:lvlJc w:val="left"/>
      <w:lvlText w:val="%1."/>
      <w:numFmt w:val="decimal"/>
      <w:start w:val="109"/>
    </w:lvl>
  </w:abstractNum>
  <w:abstractNum w:abstractNumId="43">
    <w:nsid w:val="180115BE"/>
    <w:multiLevelType w:val="hybridMultilevel"/>
    <w:lvl w:ilvl="0">
      <w:lvlJc w:val="left"/>
      <w:lvlText w:val="%1."/>
      <w:numFmt w:val="decimal"/>
      <w:start w:val="110"/>
    </w:lvl>
  </w:abstractNum>
  <w:abstractNum w:abstractNumId="44">
    <w:nsid w:val="235BA861"/>
    <w:multiLevelType w:val="hybridMultilevel"/>
    <w:lvl w:ilvl="0">
      <w:lvlJc w:val="left"/>
      <w:lvlText w:val="%1."/>
      <w:numFmt w:val="decimal"/>
      <w:start w:val="112"/>
    </w:lvl>
  </w:abstractNum>
  <w:abstractNum w:abstractNumId="45">
    <w:nsid w:val="47398C89"/>
    <w:multiLevelType w:val="hybridMultilevel"/>
    <w:lvl w:ilvl="0">
      <w:lvlJc w:val="left"/>
      <w:lvlText w:val="%1."/>
      <w:numFmt w:val="decimal"/>
      <w:start w:val="113"/>
    </w:lvl>
    <w:lvl w:ilvl="1">
      <w:lvlJc w:val="left"/>
      <w:lvlText w:val="(%2)"/>
      <w:numFmt w:val="lowerLetter"/>
      <w:start w:val="1"/>
    </w:lvl>
  </w:abstractNum>
  <w:abstractNum w:abstractNumId="46">
    <w:nsid w:val="354FE9F9"/>
    <w:multiLevelType w:val="hybridMultilevel"/>
    <w:lvl w:ilvl="0">
      <w:lvlJc w:val="left"/>
      <w:lvlText w:val="%1."/>
      <w:numFmt w:val="decimal"/>
      <w:start w:val="114"/>
    </w:lvl>
  </w:abstractNum>
  <w:abstractNum w:abstractNumId="47">
    <w:nsid w:val="15B5AF5C"/>
    <w:multiLevelType w:val="hybridMultilevel"/>
    <w:lvl w:ilvl="0">
      <w:lvlJc w:val="left"/>
      <w:lvlText w:val="%1."/>
      <w:numFmt w:val="decimal"/>
      <w:start w:val="118"/>
    </w:lvl>
    <w:lvl w:ilvl="1">
      <w:lvlJc w:val="left"/>
      <w:lvlText w:val="(%2)"/>
      <w:numFmt w:val="lowerLetter"/>
      <w:start w:val="1"/>
    </w:lvl>
  </w:abstractNum>
  <w:abstractNum w:abstractNumId="48">
    <w:nsid w:val="741226BB"/>
    <w:multiLevelType w:val="hybridMultilevel"/>
    <w:lvl w:ilvl="0">
      <w:lvlJc w:val="left"/>
      <w:lvlText w:val="%1."/>
      <w:numFmt w:val="decimal"/>
      <w:start w:val="127"/>
    </w:lvl>
  </w:abstractNum>
  <w:abstractNum w:abstractNumId="49">
    <w:nsid w:val="D34B6A8"/>
    <w:multiLevelType w:val="hybridMultilevel"/>
    <w:lvl w:ilvl="0">
      <w:lvlJc w:val="left"/>
      <w:lvlText w:val="%1."/>
      <w:numFmt w:val="decimal"/>
      <w:start w:val="128"/>
    </w:lvl>
  </w:abstractNum>
  <w:abstractNum w:abstractNumId="50">
    <w:nsid w:val="10233C99"/>
    <w:multiLevelType w:val="hybridMultilevel"/>
    <w:lvl w:ilvl="0">
      <w:lvlJc w:val="left"/>
      <w:lvlText w:val="%1."/>
      <w:numFmt w:val="decimal"/>
      <w:start w:val="137"/>
    </w:lvl>
  </w:abstractNum>
  <w:abstractNum w:abstractNumId="51">
    <w:nsid w:val="3F6AB60F"/>
    <w:multiLevelType w:val="hybridMultilevel"/>
    <w:lvl w:ilvl="0">
      <w:lvlJc w:val="left"/>
      <w:lvlText w:val="%1."/>
      <w:numFmt w:val="decimal"/>
      <w:start w:val="138"/>
    </w:lvl>
  </w:abstractNum>
  <w:abstractNum w:abstractNumId="52">
    <w:nsid w:val="61574095"/>
    <w:multiLevelType w:val="hybridMultilevel"/>
    <w:lvl w:ilvl="0">
      <w:lvlJc w:val="left"/>
      <w:lvlText w:val="%1."/>
      <w:numFmt w:val="decimal"/>
      <w:start w:val="145"/>
    </w:lvl>
    <w:lvl w:ilvl="1">
      <w:lvlJc w:val="left"/>
      <w:lvlText w:val="(%2)"/>
      <w:numFmt w:val="lowerLetter"/>
      <w:start w:val="1"/>
    </w:lvl>
    <w:lvl w:ilvl="2">
      <w:lvlJc w:val="left"/>
      <w:lvlText w:val="(%3)"/>
      <w:numFmt w:val="lowerRoman"/>
      <w:start w:val="1"/>
    </w:lvl>
  </w:abstractNum>
  <w:abstractNum w:abstractNumId="53">
    <w:nsid w:val="7E0C57B1"/>
    <w:multiLevelType w:val="hybridMultilevel"/>
    <w:lvl w:ilvl="0">
      <w:lvlJc w:val="left"/>
      <w:lvlText w:val="(%1)"/>
      <w:numFmt w:val="lowerLetter"/>
      <w:start w:val="3"/>
    </w:lvl>
    <w:lvl w:ilvl="1">
      <w:lvlJc w:val="left"/>
      <w:lvlText w:val="(%2)"/>
      <w:numFmt w:val="lowerRoman"/>
      <w:start w:val="1"/>
    </w:lvl>
  </w:abstractNum>
  <w:abstractNum w:abstractNumId="54">
    <w:nsid w:val="77AE35EB"/>
    <w:multiLevelType w:val="hybridMultilevel"/>
    <w:lvl w:ilvl="0">
      <w:lvlJc w:val="left"/>
      <w:lvlText w:val="(%1)"/>
      <w:numFmt w:val="lowerRoman"/>
      <w:start w:val="2"/>
    </w:lvl>
  </w:abstractNum>
  <w:abstractNum w:abstractNumId="55">
    <w:nsid w:val="579BE4F1"/>
    <w:multiLevelType w:val="hybridMultilevel"/>
    <w:lvl w:ilvl="0">
      <w:lvlJc w:val="left"/>
      <w:lvlText w:val="%1"/>
      <w:numFmt w:val="decimal"/>
      <w:start w:val="1"/>
    </w:lvl>
    <w:lvl w:ilvl="1">
      <w:lvlJc w:val="left"/>
      <w:lvlText w:val="(%2)"/>
      <w:numFmt w:val="lowerLetter"/>
      <w:start w:val="5"/>
    </w:lvl>
  </w:abstractNum>
  <w:abstractNum w:abstractNumId="56">
    <w:nsid w:val="310C50B3"/>
    <w:multiLevelType w:val="hybridMultilevel"/>
    <w:lvl w:ilvl="0">
      <w:lvlJc w:val="left"/>
      <w:lvlText w:val="%1."/>
      <w:numFmt w:val="decimal"/>
      <w:start w:val="146"/>
    </w:lvl>
    <w:lvl w:ilvl="1">
      <w:lvlJc w:val="left"/>
      <w:lvlText w:val="(%2)"/>
      <w:numFmt w:val="lowerLetter"/>
      <w:start w:val="1"/>
    </w:lvl>
  </w:abstractNum>
  <w:abstractNum w:abstractNumId="57">
    <w:nsid w:val="5FF87E05"/>
    <w:multiLevelType w:val="hybridMultilevel"/>
    <w:lvl w:ilvl="0">
      <w:lvlJc w:val="left"/>
      <w:lvlText w:val="%1."/>
      <w:numFmt w:val="decimal"/>
      <w:start w:val="147"/>
    </w:lvl>
  </w:abstractNum>
  <w:abstractNum w:abstractNumId="58">
    <w:nsid w:val="2F305DEF"/>
    <w:multiLevelType w:val="hybridMultilevel"/>
    <w:lvl w:ilvl="0">
      <w:lvlJc w:val="left"/>
      <w:lvlText w:val="%1."/>
      <w:numFmt w:val="decimal"/>
      <w:start w:val="149"/>
    </w:lvl>
  </w:abstractNum>
  <w:abstractNum w:abstractNumId="59">
    <w:nsid w:val="25A70BF7"/>
    <w:multiLevelType w:val="hybridMultilevel"/>
    <w:lvl w:ilvl="0">
      <w:lvlJc w:val="left"/>
      <w:lvlText w:val="%1."/>
      <w:numFmt w:val="decimal"/>
      <w:start w:val="152"/>
    </w:lvl>
    <w:lvl w:ilvl="1">
      <w:lvlJc w:val="left"/>
      <w:lvlText w:val="(%2)"/>
      <w:numFmt w:val="lowerLetter"/>
      <w:start w:val="1"/>
    </w:lvl>
  </w:abstractNum>
  <w:abstractNum w:abstractNumId="60">
    <w:nsid w:val="1DBABF00"/>
    <w:multiLevelType w:val="hybridMultilevel"/>
    <w:lvl w:ilvl="0">
      <w:lvlJc w:val="left"/>
      <w:lvlText w:val="%1."/>
      <w:numFmt w:val="decimal"/>
      <w:start w:val="153"/>
    </w:lvl>
    <w:lvl w:ilvl="1">
      <w:lvlJc w:val="left"/>
      <w:lvlText w:val="(%2)"/>
      <w:numFmt w:val="lowerLetter"/>
      <w:start w:val="1"/>
    </w:lvl>
  </w:abstractNum>
  <w:abstractNum w:abstractNumId="61">
    <w:nsid w:val="4AD084E9"/>
    <w:multiLevelType w:val="hybridMultilevel"/>
    <w:lvl w:ilvl="0">
      <w:lvlJc w:val="left"/>
      <w:lvlText w:val="%1."/>
      <w:numFmt w:val="decimal"/>
      <w:start w:val="155"/>
    </w:lvl>
  </w:abstractNum>
  <w:abstractNum w:abstractNumId="62">
    <w:nsid w:val="1F48EAA1"/>
    <w:multiLevelType w:val="hybridMultilevel"/>
    <w:lvl w:ilvl="0">
      <w:lvlJc w:val="left"/>
      <w:lvlText w:val="%1."/>
      <w:numFmt w:val="decimal"/>
      <w:start w:val="157"/>
    </w:lvl>
  </w:abstractNum>
  <w:abstractNum w:abstractNumId="63">
    <w:nsid w:val="1381823A"/>
    <w:multiLevelType w:val="hybridMultilevel"/>
    <w:lvl w:ilvl="0">
      <w:lvlJc w:val="left"/>
      <w:lvlText w:val="%1."/>
      <w:numFmt w:val="decimal"/>
      <w:start w:val="158"/>
    </w:lvl>
    <w:lvl w:ilvl="1">
      <w:lvlJc w:val="left"/>
      <w:lvlText w:val="(%2)"/>
      <w:numFmt w:val="lowerLetter"/>
      <w:start w:val="1"/>
    </w:lvl>
  </w:abstractNum>
  <w:abstractNum w:abstractNumId="64">
    <w:nsid w:val="5DB70AE5"/>
    <w:multiLevelType w:val="hybridMultilevel"/>
    <w:lvl w:ilvl="0">
      <w:lvlJc w:val="left"/>
      <w:lvlText w:val="%1."/>
      <w:numFmt w:val="decimal"/>
      <w:start w:val="159"/>
    </w:lvl>
  </w:abstractNum>
  <w:abstractNum w:abstractNumId="65">
    <w:nsid w:val="100F8FCA"/>
    <w:multiLevelType w:val="hybridMultilevel"/>
    <w:lvl w:ilvl="0">
      <w:lvlJc w:val="left"/>
      <w:lvlText w:val="%1."/>
      <w:numFmt w:val="decimal"/>
      <w:start w:val="160"/>
    </w:lvl>
  </w:abstractNum>
  <w:abstractNum w:abstractNumId="66">
    <w:nsid w:val="6590700B"/>
    <w:multiLevelType w:val="hybridMultilevel"/>
    <w:lvl w:ilvl="0">
      <w:lvlJc w:val="left"/>
      <w:lvlText w:val="%1."/>
      <w:numFmt w:val="decimal"/>
      <w:start w:val="161"/>
    </w:lvl>
  </w:abstractNum>
  <w:abstractNum w:abstractNumId="67">
    <w:nsid w:val="15014ACB"/>
    <w:multiLevelType w:val="hybridMultilevel"/>
    <w:lvl w:ilvl="0">
      <w:lvlJc w:val="left"/>
      <w:lvlText w:val="%1."/>
      <w:numFmt w:val="decimal"/>
      <w:start w:val="163"/>
    </w:lvl>
  </w:abstractNum>
  <w:abstractNum w:abstractNumId="68">
    <w:nsid w:val="5F5E7FD0"/>
    <w:multiLevelType w:val="hybridMultilevel"/>
    <w:lvl w:ilvl="0">
      <w:lvlJc w:val="left"/>
      <w:lvlText w:val="%1."/>
      <w:numFmt w:val="decimal"/>
      <w:start w:val="164"/>
    </w:lvl>
  </w:abstractNum>
  <w:abstractNum w:abstractNumId="69">
    <w:nsid w:val="98A3148"/>
    <w:multiLevelType w:val="hybridMultilevel"/>
    <w:lvl w:ilvl="0">
      <w:lvlJc w:val="left"/>
      <w:lvlText w:val="%1."/>
      <w:numFmt w:val="decimal"/>
      <w:start w:val="167"/>
    </w:lvl>
  </w:abstractNum>
  <w:abstractNum w:abstractNumId="70">
    <w:nsid w:val="799D0247"/>
    <w:multiLevelType w:val="hybridMultilevel"/>
    <w:lvl w:ilvl="0">
      <w:lvlJc w:val="left"/>
      <w:lvlText w:val="%1."/>
      <w:numFmt w:val="decimal"/>
      <w:start w:val="16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2023-02-09T05:20:32Z</dcterms:created>
  <dcterms:modified xsi:type="dcterms:W3CDTF">2023-02-09T05:20:32Z</dcterms:modified>
</cp:coreProperties>
</file>